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0C" w:rsidRPr="00D3370C" w:rsidRDefault="00D3370C" w:rsidP="00D3370C">
      <w:pPr>
        <w:shd w:val="clear" w:color="auto" w:fill="FFFFFF"/>
        <w:spacing w:after="0" w:line="240" w:lineRule="auto"/>
        <w:jc w:val="center"/>
        <w:outlineLvl w:val="2"/>
        <w:rPr>
          <w:rFonts w:ascii="Times New Roman" w:eastAsia="Times New Roman" w:hAnsi="Times New Roman" w:cs="Times New Roman"/>
          <w:b/>
          <w:bCs/>
          <w:sz w:val="32"/>
          <w:szCs w:val="32"/>
        </w:rPr>
      </w:pPr>
      <w:r w:rsidRPr="00D3370C">
        <w:rPr>
          <w:rFonts w:ascii="Times New Roman" w:eastAsia="Times New Roman" w:hAnsi="Times New Roman" w:cs="Times New Roman"/>
          <w:b/>
          <w:bCs/>
          <w:color w:val="0000FF"/>
          <w:sz w:val="32"/>
          <w:szCs w:val="32"/>
          <w:u w:val="single"/>
        </w:rPr>
        <w:t>Awarding NVQ Level 5 Equivalence Qualifications through the Mature Candidate Route</w:t>
      </w:r>
    </w:p>
    <w:p w:rsidR="003E5C3B" w:rsidRDefault="00136E36"/>
    <w:p w:rsidR="00F32BB8" w:rsidRDefault="00F32BB8"/>
    <w:p w:rsidR="00D3370C" w:rsidRPr="00F32BB8" w:rsidRDefault="00D3370C" w:rsidP="00F32BB8">
      <w:pPr>
        <w:pStyle w:val="Heading1"/>
        <w:shd w:val="clear" w:color="auto" w:fill="8DB3E2" w:themeFill="text2" w:themeFillTint="66"/>
        <w:spacing w:before="0"/>
        <w:rPr>
          <w:rFonts w:ascii="Arial" w:hAnsi="Arial" w:cs="Arial"/>
          <w:b w:val="0"/>
          <w:bCs w:val="0"/>
          <w:color w:val="000000" w:themeColor="text1"/>
        </w:rPr>
      </w:pPr>
      <w:r w:rsidRPr="00F32BB8">
        <w:rPr>
          <w:rStyle w:val="Strong"/>
          <w:rFonts w:ascii="Arial" w:hAnsi="Arial" w:cs="Arial"/>
          <w:b/>
          <w:bCs/>
          <w:color w:val="000000" w:themeColor="text1"/>
        </w:rPr>
        <w:t>Mature Candidate Route</w:t>
      </w:r>
    </w:p>
    <w:p w:rsidR="00F32BB8" w:rsidRDefault="00F32BB8" w:rsidP="00D3370C">
      <w:pPr>
        <w:pStyle w:val="NormalWeb"/>
        <w:shd w:val="clear" w:color="auto" w:fill="FFFFFF"/>
        <w:spacing w:before="0" w:beforeAutospacing="0" w:after="150" w:afterAutospacing="0"/>
        <w:jc w:val="both"/>
        <w:rPr>
          <w:rFonts w:eastAsiaTheme="majorEastAsia"/>
          <w:b/>
          <w:bCs/>
          <w:color w:val="555555"/>
          <w:spacing w:val="3"/>
          <w:sz w:val="28"/>
          <w:szCs w:val="28"/>
        </w:rPr>
      </w:pPr>
    </w:p>
    <w:p w:rsidR="00D3370C" w:rsidRPr="00D3370C" w:rsidRDefault="00D3370C" w:rsidP="00D3370C">
      <w:pPr>
        <w:pStyle w:val="NormalWeb"/>
        <w:shd w:val="clear" w:color="auto" w:fill="FFFFFF"/>
        <w:spacing w:before="0" w:beforeAutospacing="0" w:after="150" w:afterAutospacing="0"/>
        <w:jc w:val="both"/>
        <w:rPr>
          <w:rFonts w:eastAsiaTheme="majorEastAsia"/>
          <w:b/>
          <w:bCs/>
          <w:color w:val="555555"/>
          <w:spacing w:val="3"/>
          <w:sz w:val="28"/>
          <w:szCs w:val="28"/>
        </w:rPr>
      </w:pPr>
      <w:r w:rsidRPr="00D3370C">
        <w:rPr>
          <w:rFonts w:eastAsiaTheme="majorEastAsia"/>
          <w:b/>
          <w:bCs/>
          <w:color w:val="555555"/>
          <w:spacing w:val="3"/>
          <w:sz w:val="28"/>
          <w:szCs w:val="28"/>
        </w:rPr>
        <w:t>Public Administration Circular 02/2009 specifies National Vocational Qualification (NVQ) Levels for different categories of employment in the public sector. The NVQ Level 5 specify the middle level technical employment .Craftsmen with long years of experience who perform supervisory functions in middle level employment could be assessed and certified for award of NVQ Level 5 qualification which may be useful in their career and employment opportunities. This is an alternative path for obtaining NVQ Level 5 equivalence through their Maturity /experience in the relevant sector as per the NVQ circulars 01/2021,</w:t>
      </w:r>
      <w:r>
        <w:rPr>
          <w:rFonts w:eastAsiaTheme="majorEastAsia"/>
          <w:b/>
          <w:bCs/>
          <w:color w:val="555555"/>
          <w:spacing w:val="3"/>
          <w:sz w:val="28"/>
          <w:szCs w:val="28"/>
        </w:rPr>
        <w:t xml:space="preserve"> </w:t>
      </w:r>
      <w:r w:rsidRPr="00D3370C">
        <w:rPr>
          <w:rFonts w:eastAsiaTheme="majorEastAsia"/>
          <w:b/>
          <w:bCs/>
          <w:color w:val="555555"/>
          <w:spacing w:val="3"/>
          <w:sz w:val="28"/>
          <w:szCs w:val="28"/>
        </w:rPr>
        <w:t>02/2022 and 02/</w:t>
      </w:r>
      <w:r w:rsidR="00804E0F" w:rsidRPr="00D3370C">
        <w:rPr>
          <w:rFonts w:eastAsiaTheme="majorEastAsia"/>
          <w:b/>
          <w:bCs/>
          <w:color w:val="555555"/>
          <w:spacing w:val="3"/>
          <w:sz w:val="28"/>
          <w:szCs w:val="28"/>
        </w:rPr>
        <w:t>2024 introduced</w:t>
      </w:r>
      <w:r w:rsidRPr="00D3370C">
        <w:rPr>
          <w:rFonts w:eastAsiaTheme="majorEastAsia"/>
          <w:b/>
          <w:bCs/>
          <w:color w:val="555555"/>
          <w:spacing w:val="3"/>
          <w:sz w:val="28"/>
          <w:szCs w:val="28"/>
        </w:rPr>
        <w:t xml:space="preserve"> by Tertiary and Vocational Education Commission (TVEC).</w:t>
      </w:r>
    </w:p>
    <w:p w:rsidR="00D3370C" w:rsidRPr="00D3370C" w:rsidRDefault="00D3370C" w:rsidP="00D3370C">
      <w:pPr>
        <w:pStyle w:val="Heading4"/>
        <w:shd w:val="clear" w:color="auto" w:fill="FFFFFF"/>
        <w:spacing w:before="0"/>
        <w:jc w:val="both"/>
        <w:rPr>
          <w:rFonts w:ascii="Times New Roman" w:hAnsi="Times New Roman" w:cs="Times New Roman"/>
          <w:i w:val="0"/>
          <w:iCs w:val="0"/>
          <w:color w:val="555555"/>
          <w:spacing w:val="3"/>
          <w:sz w:val="28"/>
          <w:szCs w:val="28"/>
        </w:rPr>
      </w:pPr>
      <w:r w:rsidRPr="00D3370C">
        <w:rPr>
          <w:rFonts w:ascii="Times New Roman" w:hAnsi="Times New Roman" w:cs="Times New Roman"/>
          <w:i w:val="0"/>
          <w:iCs w:val="0"/>
          <w:color w:val="555555"/>
          <w:spacing w:val="3"/>
          <w:sz w:val="28"/>
          <w:szCs w:val="28"/>
        </w:rPr>
        <w:t xml:space="preserve"> </w:t>
      </w:r>
    </w:p>
    <w:p w:rsidR="00D3370C" w:rsidRDefault="00D3370C" w:rsidP="00D3370C">
      <w:pPr>
        <w:pStyle w:val="Heading4"/>
        <w:shd w:val="clear" w:color="auto" w:fill="FFFFFF"/>
        <w:spacing w:before="0"/>
        <w:rPr>
          <w:rFonts w:ascii="Arial" w:hAnsi="Arial" w:cs="Arial"/>
          <w:color w:val="555555"/>
          <w:spacing w:val="3"/>
          <w:sz w:val="21"/>
          <w:szCs w:val="21"/>
        </w:rPr>
      </w:pPr>
    </w:p>
    <w:p w:rsidR="00D3370C" w:rsidRDefault="00D3370C" w:rsidP="00D3370C">
      <w:pPr>
        <w:pStyle w:val="Heading4"/>
        <w:shd w:val="clear" w:color="auto" w:fill="FFFFFF"/>
        <w:spacing w:before="0"/>
        <w:rPr>
          <w:rFonts w:ascii="Arial" w:hAnsi="Arial" w:cs="Arial"/>
          <w:color w:val="555555"/>
          <w:spacing w:val="3"/>
          <w:sz w:val="21"/>
          <w:szCs w:val="21"/>
        </w:rPr>
      </w:pPr>
    </w:p>
    <w:p w:rsidR="00D3370C" w:rsidRDefault="00D3370C" w:rsidP="00D3370C">
      <w:pPr>
        <w:pStyle w:val="Heading4"/>
        <w:shd w:val="clear" w:color="auto" w:fill="FFFFFF"/>
        <w:spacing w:before="0"/>
        <w:rPr>
          <w:rStyle w:val="Strong"/>
          <w:rFonts w:ascii="Arial" w:hAnsi="Arial" w:cs="Arial"/>
          <w:b/>
          <w:bCs/>
          <w:i w:val="0"/>
          <w:iCs w:val="0"/>
          <w:color w:val="0000FF"/>
          <w:sz w:val="28"/>
          <w:szCs w:val="28"/>
        </w:rPr>
      </w:pPr>
      <w:r w:rsidRPr="00BF65E4">
        <w:rPr>
          <w:rStyle w:val="Strong"/>
          <w:rFonts w:ascii="Arial" w:hAnsi="Arial" w:cs="Arial"/>
          <w:b/>
          <w:bCs/>
          <w:i w:val="0"/>
          <w:iCs w:val="0"/>
          <w:color w:val="0000FF"/>
          <w:sz w:val="28"/>
          <w:szCs w:val="28"/>
          <w:highlight w:val="lightGray"/>
        </w:rPr>
        <w:t>Eligibility</w:t>
      </w:r>
    </w:p>
    <w:p w:rsidR="00D3370C" w:rsidRPr="00D3370C" w:rsidRDefault="00D3370C" w:rsidP="00D3370C"/>
    <w:p w:rsidR="009D1712" w:rsidRPr="009D1712" w:rsidRDefault="009D1712" w:rsidP="009D1712">
      <w:pPr>
        <w:pStyle w:val="ListParagraph"/>
        <w:numPr>
          <w:ilvl w:val="0"/>
          <w:numId w:val="21"/>
        </w:numPr>
        <w:shd w:val="clear" w:color="auto" w:fill="FFFFFF"/>
        <w:spacing w:after="150" w:line="240" w:lineRule="auto"/>
        <w:jc w:val="both"/>
        <w:rPr>
          <w:rFonts w:eastAsiaTheme="majorEastAsia"/>
          <w:b/>
          <w:bCs/>
          <w:color w:val="555555"/>
          <w:spacing w:val="3"/>
          <w:sz w:val="28"/>
          <w:szCs w:val="28"/>
        </w:rPr>
      </w:pPr>
      <w:r w:rsidRPr="009D1712">
        <w:rPr>
          <w:rFonts w:ascii="Times New Roman" w:eastAsiaTheme="majorEastAsia" w:hAnsi="Times New Roman" w:cs="Times New Roman"/>
          <w:b/>
          <w:bCs/>
          <w:color w:val="555555"/>
          <w:spacing w:val="3"/>
          <w:sz w:val="28"/>
          <w:szCs w:val="28"/>
        </w:rPr>
        <w:t xml:space="preserve">The candidate must be at least 35 years of age </w:t>
      </w:r>
    </w:p>
    <w:p w:rsidR="00BF65E4" w:rsidRDefault="009D1712" w:rsidP="009D1712">
      <w:pPr>
        <w:pStyle w:val="NormalWeb"/>
        <w:numPr>
          <w:ilvl w:val="0"/>
          <w:numId w:val="21"/>
        </w:numPr>
        <w:shd w:val="clear" w:color="auto" w:fill="FFFFFF"/>
        <w:spacing w:before="0" w:beforeAutospacing="0" w:after="150" w:afterAutospacing="0"/>
        <w:jc w:val="both"/>
        <w:rPr>
          <w:rFonts w:eastAsiaTheme="majorEastAsia"/>
          <w:b/>
          <w:bCs/>
          <w:color w:val="555555"/>
          <w:spacing w:val="3"/>
          <w:sz w:val="28"/>
          <w:szCs w:val="28"/>
        </w:rPr>
      </w:pPr>
      <w:r w:rsidRPr="009D1712">
        <w:rPr>
          <w:rFonts w:eastAsiaTheme="majorEastAsia"/>
          <w:b/>
          <w:bCs/>
          <w:color w:val="555555"/>
          <w:spacing w:val="3"/>
          <w:sz w:val="28"/>
          <w:szCs w:val="28"/>
        </w:rPr>
        <w:t>If you are an industry worker, you should be qualified through one of the routes mentioned below.</w:t>
      </w:r>
    </w:p>
    <w:tbl>
      <w:tblPr>
        <w:tblpPr w:leftFromText="180" w:rightFromText="180" w:vertAnchor="page" w:horzAnchor="margin" w:tblpY="12157"/>
        <w:tblW w:w="10570" w:type="dxa"/>
        <w:shd w:val="clear" w:color="auto" w:fill="FFFFFF"/>
        <w:tblCellMar>
          <w:left w:w="0" w:type="dxa"/>
          <w:right w:w="0" w:type="dxa"/>
        </w:tblCellMar>
        <w:tblLook w:val="04A0" w:firstRow="1" w:lastRow="0" w:firstColumn="1" w:lastColumn="0" w:noHBand="0" w:noVBand="1"/>
      </w:tblPr>
      <w:tblGrid>
        <w:gridCol w:w="1522"/>
        <w:gridCol w:w="9048"/>
      </w:tblGrid>
      <w:tr w:rsidR="00BF65E4" w:rsidTr="00BF65E4">
        <w:trPr>
          <w:trHeight w:val="829"/>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Route 1</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A minimum of 10 years’ experience including minimum of 3 years supervisory experience in the relevant industry and having NVQ Level 4 certificate or NCT,NCIT in the relevant field.</w:t>
            </w:r>
          </w:p>
        </w:tc>
      </w:tr>
      <w:tr w:rsidR="00BF65E4" w:rsidTr="00BF65E4">
        <w:trPr>
          <w:trHeight w:val="820"/>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Route 2</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A minimum of 10 years’ experience including minimum of 3 years supervisory experience in the relevant industry and having a Diploma certificate (with the duration more than 6 months) accepted by TVEC in the relevant field</w:t>
            </w:r>
          </w:p>
        </w:tc>
      </w:tr>
      <w:tr w:rsidR="00BF65E4" w:rsidTr="00BF65E4">
        <w:trPr>
          <w:trHeight w:val="829"/>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Route 3</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 xml:space="preserve">A minimum of 12 years’ experience including minimum of 3 years supervisory experience in the relevant industry and having a certificate (with the duration more than 6 months) accepted by </w:t>
            </w:r>
            <w:r>
              <w:rPr>
                <w:rFonts w:ascii="Arial" w:hAnsi="Arial" w:cs="Arial"/>
                <w:color w:val="555555"/>
                <w:sz w:val="21"/>
                <w:szCs w:val="21"/>
              </w:rPr>
              <w:lastRenderedPageBreak/>
              <w:t>TVEC in the relevant field</w:t>
            </w:r>
          </w:p>
        </w:tc>
      </w:tr>
      <w:tr w:rsidR="00BF65E4" w:rsidTr="00BF65E4">
        <w:trPr>
          <w:trHeight w:val="975"/>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lastRenderedPageBreak/>
              <w:t>Route 4</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BF65E4" w:rsidRDefault="00BF65E4" w:rsidP="00BF65E4">
            <w:pPr>
              <w:spacing w:line="480" w:lineRule="auto"/>
              <w:rPr>
                <w:rFonts w:ascii="Arial" w:hAnsi="Arial" w:cs="Arial"/>
                <w:color w:val="555555"/>
                <w:sz w:val="21"/>
                <w:szCs w:val="21"/>
              </w:rPr>
            </w:pPr>
            <w:r>
              <w:rPr>
                <w:rFonts w:ascii="Arial" w:hAnsi="Arial" w:cs="Arial"/>
                <w:color w:val="555555"/>
                <w:sz w:val="21"/>
                <w:szCs w:val="21"/>
              </w:rPr>
              <w:t>A minimum of 15 years’ experience including minimum of 3 years supervisory experience in the relevant industry</w:t>
            </w:r>
          </w:p>
        </w:tc>
      </w:tr>
    </w:tbl>
    <w:p w:rsidR="00BF65E4" w:rsidRDefault="00BF65E4" w:rsidP="00D3370C">
      <w:pPr>
        <w:pStyle w:val="NormalWeb"/>
        <w:shd w:val="clear" w:color="auto" w:fill="FFFFFF"/>
        <w:spacing w:before="0" w:beforeAutospacing="0" w:after="150" w:afterAutospacing="0"/>
        <w:rPr>
          <w:rFonts w:eastAsiaTheme="majorEastAsia"/>
          <w:b/>
          <w:bCs/>
          <w:color w:val="555555"/>
          <w:spacing w:val="3"/>
          <w:sz w:val="28"/>
          <w:szCs w:val="28"/>
        </w:rPr>
      </w:pPr>
    </w:p>
    <w:p w:rsidR="00BF65E4" w:rsidRDefault="00804E0F" w:rsidP="009D1712">
      <w:pPr>
        <w:pStyle w:val="NormalWeb"/>
        <w:numPr>
          <w:ilvl w:val="0"/>
          <w:numId w:val="25"/>
        </w:numPr>
        <w:shd w:val="clear" w:color="auto" w:fill="FFFFFF"/>
        <w:spacing w:before="0" w:beforeAutospacing="0" w:after="150" w:afterAutospacing="0"/>
        <w:jc w:val="both"/>
        <w:rPr>
          <w:rFonts w:eastAsiaTheme="majorEastAsia"/>
          <w:b/>
          <w:bCs/>
          <w:color w:val="555555"/>
          <w:spacing w:val="3"/>
          <w:sz w:val="28"/>
          <w:szCs w:val="28"/>
        </w:rPr>
      </w:pPr>
      <w:r>
        <w:rPr>
          <w:rFonts w:eastAsiaTheme="majorEastAsia"/>
          <w:b/>
          <w:bCs/>
          <w:color w:val="555555"/>
          <w:spacing w:val="3"/>
          <w:sz w:val="28"/>
          <w:szCs w:val="28"/>
        </w:rPr>
        <w:t>If you are a trainer or l</w:t>
      </w:r>
      <w:r w:rsidR="009D1712" w:rsidRPr="009D1712">
        <w:rPr>
          <w:rFonts w:eastAsiaTheme="majorEastAsia"/>
          <w:b/>
          <w:bCs/>
          <w:color w:val="555555"/>
          <w:spacing w:val="3"/>
          <w:sz w:val="28"/>
          <w:szCs w:val="28"/>
        </w:rPr>
        <w:t>ecturer, you should be qualified through one of the routes mentioned below.</w:t>
      </w:r>
    </w:p>
    <w:p w:rsidR="00BF65E4" w:rsidRDefault="00BF65E4" w:rsidP="00BF65E4">
      <w:pPr>
        <w:pStyle w:val="NormalWeb"/>
        <w:shd w:val="clear" w:color="auto" w:fill="FFFFFF"/>
        <w:spacing w:before="0" w:beforeAutospacing="0" w:after="150" w:afterAutospacing="0"/>
        <w:ind w:left="720"/>
        <w:jc w:val="both"/>
        <w:rPr>
          <w:rFonts w:eastAsiaTheme="majorEastAsia"/>
          <w:b/>
          <w:bCs/>
          <w:color w:val="555555"/>
          <w:spacing w:val="3"/>
          <w:sz w:val="28"/>
          <w:szCs w:val="28"/>
        </w:rPr>
      </w:pPr>
    </w:p>
    <w:p w:rsidR="00D3370C" w:rsidRDefault="00D3370C" w:rsidP="00D3370C">
      <w:pPr>
        <w:pStyle w:val="NormalWeb"/>
        <w:shd w:val="clear" w:color="auto" w:fill="FFFFFF"/>
        <w:spacing w:before="0" w:beforeAutospacing="0" w:after="150" w:afterAutospacing="0"/>
        <w:rPr>
          <w:rFonts w:ascii="Arial" w:hAnsi="Arial" w:cs="Arial"/>
          <w:color w:val="555555"/>
          <w:spacing w:val="3"/>
          <w:sz w:val="21"/>
          <w:szCs w:val="21"/>
        </w:rPr>
      </w:pPr>
      <w:r>
        <w:rPr>
          <w:rFonts w:ascii="Arial" w:hAnsi="Arial" w:cs="Arial"/>
          <w:color w:val="555555"/>
          <w:spacing w:val="3"/>
          <w:sz w:val="21"/>
          <w:szCs w:val="21"/>
        </w:rPr>
        <w:t xml:space="preserve"> </w:t>
      </w:r>
    </w:p>
    <w:tbl>
      <w:tblPr>
        <w:tblpPr w:leftFromText="180" w:rightFromText="180" w:vertAnchor="page" w:horzAnchor="margin" w:tblpY="5737"/>
        <w:tblW w:w="10570" w:type="dxa"/>
        <w:shd w:val="clear" w:color="auto" w:fill="FFFFFF"/>
        <w:tblCellMar>
          <w:left w:w="0" w:type="dxa"/>
          <w:right w:w="0" w:type="dxa"/>
        </w:tblCellMar>
        <w:tblLook w:val="04A0" w:firstRow="1" w:lastRow="0" w:firstColumn="1" w:lastColumn="0" w:noHBand="0" w:noVBand="1"/>
      </w:tblPr>
      <w:tblGrid>
        <w:gridCol w:w="1522"/>
        <w:gridCol w:w="9048"/>
      </w:tblGrid>
      <w:tr w:rsidR="009D1712" w:rsidTr="009D1712">
        <w:trPr>
          <w:trHeight w:val="829"/>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Route 1</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 xml:space="preserve">A minimum of 10 years’ relevant experience including minimum of 7 years </w:t>
            </w:r>
            <w:r w:rsidR="00251073">
              <w:rPr>
                <w:rFonts w:ascii="Arial" w:hAnsi="Arial" w:cs="Arial"/>
                <w:color w:val="555555"/>
                <w:sz w:val="21"/>
                <w:szCs w:val="21"/>
              </w:rPr>
              <w:t>relevant training</w:t>
            </w:r>
            <w:r>
              <w:rPr>
                <w:rFonts w:ascii="Arial" w:hAnsi="Arial" w:cs="Arial"/>
                <w:color w:val="555555"/>
                <w:sz w:val="21"/>
                <w:szCs w:val="21"/>
              </w:rPr>
              <w:t xml:space="preserve"> or </w:t>
            </w:r>
            <w:proofErr w:type="gramStart"/>
            <w:r>
              <w:rPr>
                <w:rFonts w:ascii="Arial" w:hAnsi="Arial" w:cs="Arial"/>
                <w:color w:val="555555"/>
                <w:sz w:val="21"/>
                <w:szCs w:val="21"/>
              </w:rPr>
              <w:t>lecturing  experience</w:t>
            </w:r>
            <w:proofErr w:type="gramEnd"/>
            <w:r>
              <w:rPr>
                <w:rFonts w:ascii="Arial" w:hAnsi="Arial" w:cs="Arial"/>
                <w:color w:val="555555"/>
                <w:sz w:val="21"/>
                <w:szCs w:val="21"/>
              </w:rPr>
              <w:t xml:space="preserve"> and having NVQ Level 4 certificate or NCT,NCIT in the relevant field.</w:t>
            </w:r>
          </w:p>
        </w:tc>
      </w:tr>
      <w:tr w:rsidR="009D1712" w:rsidTr="009D1712">
        <w:trPr>
          <w:trHeight w:val="820"/>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Route 2</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A minimum of 10 years’  relevant experience including minimum of 7 years relevant  training or lecturing  experience  and having a Diploma certificate (with the duration more than 6 months) accepted by TVEC in the relevant field</w:t>
            </w:r>
          </w:p>
        </w:tc>
      </w:tr>
      <w:tr w:rsidR="009D1712" w:rsidTr="009D1712">
        <w:trPr>
          <w:trHeight w:val="829"/>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Route 3</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A minimum of 12 years’  relevant experience including minimum of 7 years relevant  training or lecturing  experience  and having a certificate (with the duration more than 6 months) accepted by TVEC in the relevant field</w:t>
            </w:r>
          </w:p>
        </w:tc>
      </w:tr>
      <w:tr w:rsidR="009D1712" w:rsidTr="009D1712">
        <w:trPr>
          <w:trHeight w:val="482"/>
        </w:trPr>
        <w:tc>
          <w:tcPr>
            <w:tcW w:w="1522"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Route 4</w:t>
            </w:r>
          </w:p>
        </w:tc>
        <w:tc>
          <w:tcPr>
            <w:tcW w:w="9048" w:type="dxa"/>
            <w:tcBorders>
              <w:top w:val="single" w:sz="6" w:space="0" w:color="D2D2D2"/>
              <w:left w:val="single" w:sz="6" w:space="0" w:color="D2D2D2"/>
              <w:bottom w:val="single" w:sz="6" w:space="0" w:color="D2D2D2"/>
              <w:right w:val="single" w:sz="6" w:space="0" w:color="D2D2D2"/>
            </w:tcBorders>
            <w:shd w:val="clear" w:color="auto" w:fill="FFFFFF"/>
            <w:tcMar>
              <w:top w:w="0" w:type="dxa"/>
              <w:left w:w="105" w:type="dxa"/>
              <w:bottom w:w="0" w:type="dxa"/>
              <w:right w:w="0" w:type="dxa"/>
            </w:tcMar>
            <w:hideMark/>
          </w:tcPr>
          <w:p w:rsidR="009D1712" w:rsidRDefault="009D1712" w:rsidP="009D1712">
            <w:pPr>
              <w:spacing w:line="480" w:lineRule="auto"/>
              <w:rPr>
                <w:rFonts w:ascii="Arial" w:hAnsi="Arial" w:cs="Arial"/>
                <w:color w:val="555555"/>
                <w:sz w:val="21"/>
                <w:szCs w:val="21"/>
              </w:rPr>
            </w:pPr>
            <w:r>
              <w:rPr>
                <w:rFonts w:ascii="Arial" w:hAnsi="Arial" w:cs="Arial"/>
                <w:color w:val="555555"/>
                <w:sz w:val="21"/>
                <w:szCs w:val="21"/>
              </w:rPr>
              <w:t xml:space="preserve">A minimum of 15 years’ relevant experience including minimum of 7 years </w:t>
            </w:r>
            <w:proofErr w:type="gramStart"/>
            <w:r>
              <w:rPr>
                <w:rFonts w:ascii="Arial" w:hAnsi="Arial" w:cs="Arial"/>
                <w:color w:val="555555"/>
                <w:sz w:val="21"/>
                <w:szCs w:val="21"/>
              </w:rPr>
              <w:t>relevant  training</w:t>
            </w:r>
            <w:proofErr w:type="gramEnd"/>
            <w:r>
              <w:rPr>
                <w:rFonts w:ascii="Arial" w:hAnsi="Arial" w:cs="Arial"/>
                <w:color w:val="555555"/>
                <w:sz w:val="21"/>
                <w:szCs w:val="21"/>
              </w:rPr>
              <w:t xml:space="preserve"> or lecturing  experience.</w:t>
            </w:r>
          </w:p>
        </w:tc>
      </w:tr>
    </w:tbl>
    <w:p w:rsidR="00BF65E4" w:rsidRDefault="00BF65E4" w:rsidP="00BF65E4">
      <w:pPr>
        <w:pStyle w:val="NormalWeb"/>
        <w:shd w:val="clear" w:color="auto" w:fill="FFFFFF"/>
        <w:spacing w:before="0" w:beforeAutospacing="0" w:after="150" w:afterAutospacing="0"/>
        <w:jc w:val="both"/>
        <w:rPr>
          <w:rFonts w:eastAsiaTheme="majorEastAsia"/>
          <w:b/>
          <w:bCs/>
          <w:color w:val="555555"/>
          <w:spacing w:val="3"/>
          <w:sz w:val="28"/>
          <w:szCs w:val="28"/>
        </w:rPr>
      </w:pPr>
    </w:p>
    <w:p w:rsidR="00D3370C" w:rsidRDefault="00D3370C" w:rsidP="00D3370C"/>
    <w:p w:rsidR="009D1712" w:rsidRDefault="009D1712" w:rsidP="009D1712">
      <w:pPr>
        <w:pStyle w:val="NormalWeb"/>
        <w:shd w:val="clear" w:color="auto" w:fill="FFFFFF"/>
        <w:spacing w:before="0" w:beforeAutospacing="0" w:after="150" w:afterAutospacing="0"/>
        <w:ind w:left="720"/>
        <w:jc w:val="both"/>
        <w:rPr>
          <w:rFonts w:eastAsiaTheme="majorEastAsia"/>
          <w:b/>
          <w:bCs/>
          <w:color w:val="555555"/>
          <w:spacing w:val="3"/>
          <w:sz w:val="28"/>
          <w:szCs w:val="28"/>
        </w:rPr>
      </w:pPr>
    </w:p>
    <w:p w:rsidR="009D1712" w:rsidRDefault="009D1712" w:rsidP="009D1712">
      <w:pPr>
        <w:pStyle w:val="Heading4"/>
        <w:shd w:val="clear" w:color="auto" w:fill="FFFFFF"/>
        <w:spacing w:before="0"/>
        <w:rPr>
          <w:rStyle w:val="Strong"/>
          <w:rFonts w:ascii="Arial" w:hAnsi="Arial" w:cs="Arial"/>
          <w:b/>
          <w:bCs/>
          <w:i w:val="0"/>
          <w:iCs w:val="0"/>
          <w:color w:val="0000FF"/>
          <w:sz w:val="28"/>
          <w:szCs w:val="28"/>
        </w:rPr>
      </w:pPr>
      <w:r w:rsidRPr="00BF65E4">
        <w:rPr>
          <w:rStyle w:val="Strong"/>
          <w:rFonts w:ascii="Arial" w:hAnsi="Arial" w:cs="Arial"/>
          <w:b/>
          <w:bCs/>
          <w:i w:val="0"/>
          <w:iCs w:val="0"/>
          <w:color w:val="0000FF"/>
          <w:sz w:val="28"/>
          <w:szCs w:val="28"/>
          <w:highlight w:val="lightGray"/>
        </w:rPr>
        <w:t>The way you can apply</w:t>
      </w:r>
    </w:p>
    <w:p w:rsidR="009D1712" w:rsidRPr="00D3370C" w:rsidRDefault="009D1712" w:rsidP="00D3370C"/>
    <w:p w:rsidR="00D3370C" w:rsidRPr="00D3370C" w:rsidRDefault="00BF65E4" w:rsidP="00D3370C">
      <w:pPr>
        <w:pStyle w:val="Heading3"/>
        <w:shd w:val="clear" w:color="auto" w:fill="FFFFFF"/>
        <w:spacing w:before="0" w:beforeAutospacing="0" w:after="0" w:afterAutospacing="0"/>
        <w:rPr>
          <w:rFonts w:eastAsiaTheme="majorEastAsia"/>
          <w:color w:val="555555"/>
          <w:spacing w:val="3"/>
          <w:sz w:val="28"/>
          <w:szCs w:val="28"/>
        </w:rPr>
      </w:pPr>
      <w:r w:rsidRPr="00D3370C">
        <w:rPr>
          <w:rFonts w:eastAsiaTheme="majorEastAsia"/>
          <w:color w:val="555555"/>
          <w:spacing w:val="3"/>
          <w:sz w:val="28"/>
          <w:szCs w:val="28"/>
        </w:rPr>
        <w:t xml:space="preserve"> </w:t>
      </w:r>
      <w:r w:rsidR="00D3370C" w:rsidRPr="00D3370C">
        <w:rPr>
          <w:rFonts w:eastAsiaTheme="majorEastAsia"/>
          <w:color w:val="555555"/>
          <w:spacing w:val="3"/>
          <w:sz w:val="28"/>
          <w:szCs w:val="28"/>
        </w:rPr>
        <w:t>You should send your details via  </w:t>
      </w:r>
    </w:p>
    <w:p w:rsidR="00D3370C" w:rsidRPr="00D3370C" w:rsidRDefault="00D3370C" w:rsidP="00D3370C">
      <w:pPr>
        <w:pStyle w:val="Heading3"/>
        <w:shd w:val="clear" w:color="auto" w:fill="FFFFFF"/>
        <w:spacing w:before="0" w:beforeAutospacing="0" w:after="0" w:afterAutospacing="0"/>
        <w:rPr>
          <w:rFonts w:eastAsiaTheme="majorEastAsia"/>
          <w:color w:val="555555"/>
          <w:spacing w:val="3"/>
          <w:sz w:val="28"/>
          <w:szCs w:val="28"/>
        </w:rPr>
      </w:pPr>
    </w:p>
    <w:p w:rsidR="00D3370C" w:rsidRPr="00D3370C" w:rsidRDefault="00136E36" w:rsidP="00D3370C">
      <w:pPr>
        <w:pStyle w:val="Heading3"/>
        <w:numPr>
          <w:ilvl w:val="0"/>
          <w:numId w:val="1"/>
        </w:numPr>
        <w:shd w:val="clear" w:color="auto" w:fill="FFFFFF"/>
        <w:spacing w:before="0" w:beforeAutospacing="0" w:after="0" w:afterAutospacing="0"/>
        <w:rPr>
          <w:rFonts w:eastAsiaTheme="majorEastAsia"/>
          <w:color w:val="555555"/>
          <w:spacing w:val="3"/>
          <w:sz w:val="28"/>
          <w:szCs w:val="28"/>
        </w:rPr>
      </w:pPr>
      <w:hyperlink r:id="rId6" w:tgtFrame="_blank" w:history="1">
        <w:r w:rsidR="00D3370C" w:rsidRPr="00D3370C">
          <w:rPr>
            <w:rFonts w:eastAsiaTheme="majorEastAsia"/>
            <w:color w:val="555555"/>
            <w:spacing w:val="3"/>
            <w:sz w:val="28"/>
            <w:szCs w:val="28"/>
          </w:rPr>
          <w:t>The Normal Process Online Application Form</w:t>
        </w:r>
      </w:hyperlink>
      <w:r w:rsidR="00D3370C" w:rsidRPr="00D3370C">
        <w:rPr>
          <w:rFonts w:eastAsiaTheme="majorEastAsia"/>
          <w:color w:val="555555"/>
          <w:spacing w:val="3"/>
          <w:sz w:val="28"/>
          <w:szCs w:val="28"/>
        </w:rPr>
        <w:t xml:space="preserve"> (For the normal way)</w:t>
      </w:r>
    </w:p>
    <w:p w:rsidR="00D3370C" w:rsidRPr="00D3370C" w:rsidRDefault="00136E36" w:rsidP="00D3370C">
      <w:pPr>
        <w:pStyle w:val="Heading3"/>
        <w:numPr>
          <w:ilvl w:val="0"/>
          <w:numId w:val="1"/>
        </w:numPr>
        <w:shd w:val="clear" w:color="auto" w:fill="FFFFFF"/>
        <w:spacing w:before="0" w:beforeAutospacing="0" w:after="0" w:afterAutospacing="0"/>
        <w:rPr>
          <w:rFonts w:eastAsiaTheme="majorEastAsia"/>
          <w:color w:val="555555"/>
          <w:spacing w:val="3"/>
          <w:sz w:val="28"/>
          <w:szCs w:val="28"/>
        </w:rPr>
      </w:pPr>
      <w:hyperlink r:id="rId7" w:tgtFrame="_blank" w:history="1">
        <w:r w:rsidR="00D3370C" w:rsidRPr="00D3370C">
          <w:rPr>
            <w:rFonts w:eastAsiaTheme="majorEastAsia"/>
            <w:color w:val="555555"/>
            <w:spacing w:val="3"/>
            <w:sz w:val="28"/>
            <w:szCs w:val="28"/>
          </w:rPr>
          <w:t>Speedy Process Application Form</w:t>
        </w:r>
      </w:hyperlink>
      <w:r w:rsidR="00D3370C" w:rsidRPr="00D3370C">
        <w:rPr>
          <w:rFonts w:eastAsiaTheme="majorEastAsia"/>
          <w:color w:val="555555"/>
          <w:spacing w:val="3"/>
          <w:sz w:val="28"/>
          <w:szCs w:val="28"/>
        </w:rPr>
        <w:t xml:space="preserve"> (For the Speedy way)</w:t>
      </w:r>
    </w:p>
    <w:p w:rsidR="00D3370C" w:rsidRPr="00D3370C" w:rsidRDefault="00D3370C" w:rsidP="00D3370C">
      <w:pPr>
        <w:pStyle w:val="Heading3"/>
        <w:shd w:val="clear" w:color="auto" w:fill="FFFFFF"/>
        <w:spacing w:before="0" w:beforeAutospacing="0" w:after="0" w:afterAutospacing="0"/>
        <w:rPr>
          <w:rFonts w:eastAsiaTheme="majorEastAsia"/>
          <w:color w:val="555555"/>
          <w:spacing w:val="3"/>
          <w:sz w:val="28"/>
          <w:szCs w:val="28"/>
        </w:rPr>
      </w:pPr>
    </w:p>
    <w:p w:rsidR="00D3370C" w:rsidRDefault="00D3370C" w:rsidP="00D3370C">
      <w:pPr>
        <w:pStyle w:val="Heading4"/>
        <w:shd w:val="clear" w:color="auto" w:fill="FFFFFF"/>
        <w:spacing w:before="0"/>
        <w:rPr>
          <w:rStyle w:val="Strong"/>
          <w:rFonts w:ascii="Arial" w:hAnsi="Arial" w:cs="Arial"/>
          <w:b/>
          <w:bCs/>
          <w:i w:val="0"/>
          <w:iCs w:val="0"/>
          <w:color w:val="0000FF"/>
          <w:sz w:val="28"/>
          <w:szCs w:val="28"/>
        </w:rPr>
      </w:pPr>
    </w:p>
    <w:p w:rsidR="00D3370C" w:rsidRPr="00D3370C" w:rsidRDefault="00D3370C" w:rsidP="00D3370C">
      <w:pPr>
        <w:pStyle w:val="Heading4"/>
        <w:shd w:val="clear" w:color="auto" w:fill="FFFFFF"/>
        <w:spacing w:before="0"/>
        <w:rPr>
          <w:rStyle w:val="Strong"/>
          <w:i w:val="0"/>
          <w:iCs w:val="0"/>
          <w:color w:val="0000FF"/>
          <w:sz w:val="28"/>
          <w:szCs w:val="28"/>
        </w:rPr>
      </w:pPr>
      <w:r w:rsidRPr="00BF65E4">
        <w:rPr>
          <w:rStyle w:val="Strong"/>
          <w:rFonts w:ascii="Arial" w:hAnsi="Arial" w:cs="Arial"/>
          <w:b/>
          <w:bCs/>
          <w:i w:val="0"/>
          <w:iCs w:val="0"/>
          <w:color w:val="0000FF"/>
          <w:sz w:val="28"/>
          <w:szCs w:val="28"/>
          <w:highlight w:val="lightGray"/>
        </w:rPr>
        <w:t>Process of the Mature Candidate</w:t>
      </w:r>
      <w:r w:rsidRPr="00BF65E4">
        <w:rPr>
          <w:rStyle w:val="Strong"/>
          <w:rFonts w:ascii="Arial" w:hAnsi="Arial" w:cs="Arial"/>
          <w:b/>
          <w:bCs/>
          <w:color w:val="0000FF"/>
          <w:highlight w:val="lightGray"/>
        </w:rPr>
        <w:t xml:space="preserve"> </w:t>
      </w:r>
      <w:r w:rsidRPr="00BF65E4">
        <w:rPr>
          <w:rStyle w:val="Strong"/>
          <w:rFonts w:ascii="Arial" w:hAnsi="Arial" w:cs="Arial"/>
          <w:b/>
          <w:bCs/>
          <w:i w:val="0"/>
          <w:iCs w:val="0"/>
          <w:color w:val="0000FF"/>
          <w:sz w:val="28"/>
          <w:szCs w:val="28"/>
          <w:highlight w:val="lightGray"/>
        </w:rPr>
        <w:t>Route</w:t>
      </w:r>
    </w:p>
    <w:p w:rsidR="00D3370C" w:rsidRDefault="00D3370C" w:rsidP="00D3370C">
      <w:pPr>
        <w:pStyle w:val="NormalWeb"/>
        <w:shd w:val="clear" w:color="auto" w:fill="FFFFFF"/>
        <w:spacing w:before="0" w:beforeAutospacing="0" w:after="150" w:afterAutospacing="0"/>
        <w:ind w:left="720"/>
        <w:jc w:val="both"/>
        <w:rPr>
          <w:rFonts w:eastAsiaTheme="majorEastAsia"/>
          <w:b/>
          <w:bCs/>
          <w:color w:val="555555"/>
          <w:spacing w:val="3"/>
          <w:sz w:val="28"/>
          <w:szCs w:val="28"/>
        </w:rPr>
      </w:pPr>
    </w:p>
    <w:p w:rsidR="00D3370C" w:rsidRPr="009D1712" w:rsidRDefault="00D3370C" w:rsidP="00BF65E4">
      <w:pPr>
        <w:pStyle w:val="ListParagraph"/>
        <w:numPr>
          <w:ilvl w:val="0"/>
          <w:numId w:val="20"/>
        </w:numPr>
        <w:shd w:val="clear" w:color="auto" w:fill="FFFFFF"/>
        <w:spacing w:beforeAutospacing="1" w:after="0" w:afterAutospacing="1" w:line="420" w:lineRule="atLeast"/>
        <w:rPr>
          <w:rFonts w:ascii="Times New Roman" w:eastAsiaTheme="majorEastAsia" w:hAnsi="Times New Roman" w:cs="Times New Roman"/>
          <w:b/>
          <w:bCs/>
          <w:color w:val="555555"/>
          <w:spacing w:val="3"/>
          <w:sz w:val="28"/>
          <w:szCs w:val="28"/>
        </w:rPr>
      </w:pPr>
      <w:r w:rsidRPr="009D1712">
        <w:rPr>
          <w:rFonts w:ascii="Times New Roman" w:eastAsiaTheme="majorEastAsia" w:hAnsi="Times New Roman" w:cs="Times New Roman"/>
          <w:b/>
          <w:bCs/>
          <w:color w:val="555555"/>
          <w:spacing w:val="3"/>
          <w:sz w:val="28"/>
          <w:szCs w:val="28"/>
        </w:rPr>
        <w:t>Receive the applications from the applicants</w:t>
      </w:r>
    </w:p>
    <w:p w:rsidR="009D1712" w:rsidRPr="009D1712" w:rsidRDefault="009D1712" w:rsidP="009D1712">
      <w:pPr>
        <w:shd w:val="clear" w:color="auto" w:fill="FFFFFF"/>
        <w:spacing w:before="100" w:beforeAutospacing="1" w:after="0" w:line="240" w:lineRule="auto"/>
        <w:ind w:left="720"/>
        <w:jc w:val="both"/>
        <w:rPr>
          <w:rFonts w:ascii="Times New Roman" w:hAnsi="Times New Roman" w:cs="Times New Roman"/>
          <w:sz w:val="28"/>
          <w:szCs w:val="28"/>
        </w:rPr>
      </w:pPr>
      <w:r w:rsidRPr="009D1712">
        <w:rPr>
          <w:rFonts w:ascii="Times New Roman" w:hAnsi="Times New Roman" w:cs="Times New Roman"/>
          <w:sz w:val="28"/>
          <w:szCs w:val="28"/>
        </w:rPr>
        <w:t>Candidates who wish to apply for the NVQ Level 5 equivalent qualification through the Mature Candidate Route should send their details to the TVEC via the normal path (</w:t>
      </w:r>
      <w:r w:rsidR="00251073">
        <w:rPr>
          <w:rFonts w:ascii="Times New Roman" w:hAnsi="Times New Roman" w:cs="Times New Roman"/>
          <w:sz w:val="28"/>
          <w:szCs w:val="28"/>
        </w:rPr>
        <w:t xml:space="preserve"> Can apply </w:t>
      </w:r>
      <w:r w:rsidRPr="009D1712">
        <w:rPr>
          <w:rFonts w:ascii="Times New Roman" w:hAnsi="Times New Roman" w:cs="Times New Roman"/>
          <w:sz w:val="28"/>
          <w:szCs w:val="28"/>
        </w:rPr>
        <w:t>two rounds per year</w:t>
      </w:r>
      <w:r w:rsidR="00251073">
        <w:rPr>
          <w:rFonts w:ascii="Times New Roman" w:hAnsi="Times New Roman" w:cs="Times New Roman"/>
          <w:sz w:val="28"/>
          <w:szCs w:val="28"/>
        </w:rPr>
        <w:t xml:space="preserve"> January to May and August to December ) or through the Speedy Process.</w:t>
      </w:r>
    </w:p>
    <w:p w:rsidR="00D3370C" w:rsidRDefault="00D3370C" w:rsidP="00D3370C">
      <w:pPr>
        <w:pStyle w:val="ListParagraph"/>
        <w:numPr>
          <w:ilvl w:val="0"/>
          <w:numId w:val="20"/>
        </w:numPr>
        <w:shd w:val="clear" w:color="auto" w:fill="FFFFFF"/>
        <w:spacing w:before="100" w:beforeAutospacing="1" w:after="0" w:line="240" w:lineRule="auto"/>
        <w:rPr>
          <w:rFonts w:ascii="Times New Roman" w:eastAsiaTheme="majorEastAsia" w:hAnsi="Times New Roman" w:cs="Times New Roman"/>
          <w:b/>
          <w:bCs/>
          <w:color w:val="555555"/>
          <w:spacing w:val="3"/>
          <w:sz w:val="28"/>
          <w:szCs w:val="28"/>
        </w:rPr>
      </w:pPr>
      <w:r w:rsidRPr="009D1712">
        <w:rPr>
          <w:rFonts w:ascii="Times New Roman" w:eastAsiaTheme="majorEastAsia" w:hAnsi="Times New Roman" w:cs="Times New Roman"/>
          <w:b/>
          <w:bCs/>
          <w:color w:val="555555"/>
          <w:spacing w:val="3"/>
          <w:sz w:val="28"/>
          <w:szCs w:val="28"/>
        </w:rPr>
        <w:t>Evaluate applications to check eligibility of the applicants to award NVQ Level 5 equivalence qualification</w:t>
      </w:r>
    </w:p>
    <w:p w:rsidR="009D1712" w:rsidRPr="009D1712" w:rsidRDefault="009D1712" w:rsidP="009D1712">
      <w:pPr>
        <w:pStyle w:val="ListParagraph"/>
        <w:shd w:val="clear" w:color="auto" w:fill="FFFFFF"/>
        <w:spacing w:before="100" w:beforeAutospacing="1" w:after="0" w:line="240" w:lineRule="auto"/>
        <w:ind w:left="1080"/>
        <w:rPr>
          <w:rFonts w:ascii="Times New Roman" w:eastAsiaTheme="majorEastAsia" w:hAnsi="Times New Roman" w:cs="Times New Roman"/>
          <w:b/>
          <w:bCs/>
          <w:color w:val="555555"/>
          <w:spacing w:val="3"/>
          <w:sz w:val="28"/>
          <w:szCs w:val="28"/>
        </w:rPr>
      </w:pPr>
    </w:p>
    <w:p w:rsidR="00D3370C" w:rsidRDefault="009D1712" w:rsidP="009D1712">
      <w:pPr>
        <w:shd w:val="clear" w:color="auto" w:fill="FFFFFF"/>
        <w:spacing w:after="0" w:line="240" w:lineRule="auto"/>
        <w:ind w:left="720"/>
        <w:jc w:val="both"/>
        <w:rPr>
          <w:rFonts w:ascii="Times New Roman" w:hAnsi="Times New Roman" w:cs="Times New Roman"/>
          <w:sz w:val="28"/>
          <w:szCs w:val="28"/>
        </w:rPr>
      </w:pPr>
      <w:r w:rsidRPr="009D1712">
        <w:rPr>
          <w:rFonts w:ascii="Times New Roman" w:hAnsi="Times New Roman" w:cs="Times New Roman"/>
          <w:sz w:val="28"/>
          <w:szCs w:val="28"/>
        </w:rPr>
        <w:t>Check the eligibility of the applicants by the Mature Candidate Committee, which is appointed by the Director General of TVEC. The committee will evaluate the applicants' basic qualifications according to the relevant NVQ Circulars</w:t>
      </w:r>
      <w:r>
        <w:rPr>
          <w:rFonts w:ascii="Times New Roman" w:hAnsi="Times New Roman" w:cs="Times New Roman"/>
          <w:sz w:val="28"/>
          <w:szCs w:val="28"/>
        </w:rPr>
        <w:t>.</w:t>
      </w:r>
    </w:p>
    <w:p w:rsidR="009D1712" w:rsidRPr="009D1712" w:rsidRDefault="009D1712" w:rsidP="00D3370C">
      <w:pPr>
        <w:shd w:val="clear" w:color="auto" w:fill="FFFFFF"/>
        <w:spacing w:after="0" w:line="240" w:lineRule="auto"/>
        <w:jc w:val="both"/>
        <w:rPr>
          <w:rFonts w:ascii="Times New Roman" w:hAnsi="Times New Roman" w:cs="Times New Roman"/>
          <w:sz w:val="28"/>
          <w:szCs w:val="28"/>
        </w:rPr>
      </w:pPr>
    </w:p>
    <w:p w:rsidR="00D3370C" w:rsidRPr="009D1712" w:rsidRDefault="00251073" w:rsidP="00BF65E4">
      <w:pPr>
        <w:pStyle w:val="ListParagraph"/>
        <w:numPr>
          <w:ilvl w:val="0"/>
          <w:numId w:val="20"/>
        </w:numPr>
        <w:shd w:val="clear" w:color="auto" w:fill="FFFFFF"/>
        <w:spacing w:after="0" w:line="240" w:lineRule="auto"/>
        <w:jc w:val="both"/>
        <w:rPr>
          <w:rFonts w:ascii="Times New Roman" w:eastAsiaTheme="majorEastAsia" w:hAnsi="Times New Roman" w:cs="Times New Roman"/>
          <w:b/>
          <w:bCs/>
          <w:color w:val="555555"/>
          <w:spacing w:val="3"/>
          <w:sz w:val="28"/>
          <w:szCs w:val="28"/>
        </w:rPr>
      </w:pPr>
      <w:r>
        <w:rPr>
          <w:rFonts w:ascii="Times New Roman" w:eastAsiaTheme="majorEastAsia" w:hAnsi="Times New Roman" w:cs="Times New Roman"/>
          <w:b/>
          <w:bCs/>
          <w:color w:val="555555"/>
          <w:spacing w:val="3"/>
          <w:sz w:val="28"/>
          <w:szCs w:val="28"/>
        </w:rPr>
        <w:t>Receive</w:t>
      </w:r>
      <w:r w:rsidRPr="009D1712">
        <w:rPr>
          <w:rFonts w:ascii="Times New Roman" w:eastAsiaTheme="majorEastAsia" w:hAnsi="Times New Roman" w:cs="Times New Roman"/>
          <w:b/>
          <w:bCs/>
          <w:color w:val="555555"/>
          <w:spacing w:val="3"/>
          <w:sz w:val="28"/>
          <w:szCs w:val="28"/>
        </w:rPr>
        <w:t xml:space="preserve"> the</w:t>
      </w:r>
      <w:r w:rsidR="00D3370C" w:rsidRPr="009D1712">
        <w:rPr>
          <w:rFonts w:ascii="Times New Roman" w:eastAsiaTheme="majorEastAsia" w:hAnsi="Times New Roman" w:cs="Times New Roman"/>
          <w:b/>
          <w:bCs/>
          <w:color w:val="555555"/>
          <w:spacing w:val="3"/>
          <w:sz w:val="28"/>
          <w:szCs w:val="28"/>
        </w:rPr>
        <w:t xml:space="preserve"> Evidence </w:t>
      </w:r>
      <w:r w:rsidRPr="009D1712">
        <w:rPr>
          <w:rFonts w:ascii="Times New Roman" w:eastAsiaTheme="majorEastAsia" w:hAnsi="Times New Roman" w:cs="Times New Roman"/>
          <w:b/>
          <w:bCs/>
          <w:color w:val="555555"/>
          <w:spacing w:val="3"/>
          <w:sz w:val="28"/>
          <w:szCs w:val="28"/>
        </w:rPr>
        <w:t>portfolio as</w:t>
      </w:r>
      <w:r w:rsidR="00D3370C" w:rsidRPr="009D1712">
        <w:rPr>
          <w:rFonts w:ascii="Times New Roman" w:eastAsiaTheme="majorEastAsia" w:hAnsi="Times New Roman" w:cs="Times New Roman"/>
          <w:b/>
          <w:bCs/>
          <w:color w:val="555555"/>
          <w:spacing w:val="3"/>
          <w:sz w:val="28"/>
          <w:szCs w:val="28"/>
        </w:rPr>
        <w:t xml:space="preserve"> pe</w:t>
      </w:r>
      <w:r>
        <w:rPr>
          <w:rFonts w:ascii="Times New Roman" w:eastAsiaTheme="majorEastAsia" w:hAnsi="Times New Roman" w:cs="Times New Roman"/>
          <w:b/>
          <w:bCs/>
          <w:color w:val="555555"/>
          <w:spacing w:val="3"/>
          <w:sz w:val="28"/>
          <w:szCs w:val="28"/>
        </w:rPr>
        <w:t>r the evidence portfolio format published in the Mature Candidate Route web page.</w:t>
      </w:r>
    </w:p>
    <w:p w:rsidR="00BF65E4" w:rsidRPr="00BF65E4" w:rsidRDefault="00BF65E4" w:rsidP="00BF65E4">
      <w:pPr>
        <w:pStyle w:val="ListParagraph"/>
        <w:shd w:val="clear" w:color="auto" w:fill="FFFFFF"/>
        <w:spacing w:after="0" w:line="240" w:lineRule="auto"/>
        <w:jc w:val="both"/>
        <w:rPr>
          <w:rFonts w:ascii="Arial" w:eastAsia="Times New Roman" w:hAnsi="Arial" w:cs="Arial"/>
          <w:b/>
          <w:bCs/>
          <w:color w:val="555555"/>
          <w:spacing w:val="3"/>
          <w:sz w:val="21"/>
          <w:szCs w:val="21"/>
        </w:rPr>
      </w:pPr>
    </w:p>
    <w:p w:rsidR="00D3370C" w:rsidRPr="009D1712" w:rsidRDefault="00D3370C" w:rsidP="009D1712">
      <w:pPr>
        <w:pStyle w:val="ListParagraph"/>
        <w:numPr>
          <w:ilvl w:val="0"/>
          <w:numId w:val="20"/>
        </w:numPr>
        <w:shd w:val="clear" w:color="auto" w:fill="FFFFFF"/>
        <w:spacing w:beforeAutospacing="1" w:after="0" w:afterAutospacing="1" w:line="420" w:lineRule="atLeast"/>
        <w:jc w:val="both"/>
        <w:rPr>
          <w:rFonts w:ascii="Times New Roman" w:eastAsiaTheme="majorEastAsia" w:hAnsi="Times New Roman" w:cs="Times New Roman"/>
          <w:b/>
          <w:bCs/>
          <w:color w:val="555555"/>
          <w:spacing w:val="3"/>
          <w:sz w:val="28"/>
          <w:szCs w:val="28"/>
        </w:rPr>
      </w:pPr>
      <w:r w:rsidRPr="009D1712">
        <w:rPr>
          <w:rFonts w:ascii="Times New Roman" w:eastAsiaTheme="majorEastAsia" w:hAnsi="Times New Roman" w:cs="Times New Roman"/>
          <w:b/>
          <w:bCs/>
          <w:color w:val="555555"/>
          <w:spacing w:val="3"/>
          <w:sz w:val="28"/>
          <w:szCs w:val="28"/>
        </w:rPr>
        <w:t>Conduct the viva voce / interview for the applicants who eligible from the examination </w:t>
      </w:r>
    </w:p>
    <w:p w:rsidR="009D1712" w:rsidRPr="009D1712" w:rsidRDefault="009D1712" w:rsidP="00251073">
      <w:pPr>
        <w:spacing w:before="100" w:beforeAutospacing="1" w:after="100" w:afterAutospacing="1" w:line="240" w:lineRule="auto"/>
        <w:ind w:left="720"/>
        <w:jc w:val="both"/>
        <w:rPr>
          <w:rFonts w:ascii="Times New Roman" w:hAnsi="Times New Roman" w:cs="Times New Roman"/>
          <w:sz w:val="28"/>
          <w:szCs w:val="28"/>
        </w:rPr>
      </w:pPr>
      <w:r w:rsidRPr="009D1712">
        <w:rPr>
          <w:rFonts w:ascii="Times New Roman" w:hAnsi="Times New Roman" w:cs="Times New Roman"/>
          <w:sz w:val="28"/>
          <w:szCs w:val="28"/>
        </w:rPr>
        <w:t>Conduct an online viva voce/interview to assess the competencies (Knowledge, Skills, and Attitudes) mentioned in the areas below:</w:t>
      </w:r>
    </w:p>
    <w:p w:rsidR="009D1712" w:rsidRPr="009D1712" w:rsidRDefault="009D1712" w:rsidP="009D1712">
      <w:pPr>
        <w:spacing w:before="100" w:beforeAutospacing="1" w:after="100" w:afterAutospacing="1" w:line="240" w:lineRule="auto"/>
        <w:ind w:left="1080"/>
        <w:rPr>
          <w:rFonts w:ascii="Times New Roman" w:hAnsi="Times New Roman" w:cs="Times New Roman"/>
          <w:sz w:val="28"/>
          <w:szCs w:val="28"/>
        </w:rPr>
      </w:pPr>
      <w:r>
        <w:rPr>
          <w:rFonts w:ascii="Times New Roman" w:hAnsi="Times New Roman" w:cs="Times New Roman"/>
          <w:sz w:val="28"/>
          <w:szCs w:val="28"/>
        </w:rPr>
        <w:t xml:space="preserve">1. </w:t>
      </w:r>
      <w:r w:rsidRPr="009D1712">
        <w:rPr>
          <w:rFonts w:ascii="Times New Roman" w:hAnsi="Times New Roman" w:cs="Times New Roman"/>
          <w:sz w:val="28"/>
          <w:szCs w:val="28"/>
        </w:rPr>
        <w:t>Management and Information Technology-related competency</w:t>
      </w:r>
    </w:p>
    <w:p w:rsidR="009D1712" w:rsidRPr="009D1712" w:rsidRDefault="009D1712" w:rsidP="009D1712">
      <w:pPr>
        <w:spacing w:before="100" w:beforeAutospacing="1" w:after="100" w:afterAutospacing="1" w:line="240" w:lineRule="auto"/>
        <w:ind w:left="1080"/>
        <w:rPr>
          <w:rFonts w:ascii="Times New Roman" w:hAnsi="Times New Roman" w:cs="Times New Roman"/>
          <w:sz w:val="28"/>
          <w:szCs w:val="28"/>
        </w:rPr>
      </w:pPr>
      <w:r>
        <w:rPr>
          <w:rFonts w:ascii="Times New Roman" w:hAnsi="Times New Roman" w:cs="Times New Roman"/>
          <w:sz w:val="28"/>
          <w:szCs w:val="28"/>
        </w:rPr>
        <w:t xml:space="preserve">2. </w:t>
      </w:r>
      <w:r w:rsidRPr="009D1712">
        <w:rPr>
          <w:rFonts w:ascii="Times New Roman" w:hAnsi="Times New Roman" w:cs="Times New Roman"/>
          <w:sz w:val="28"/>
          <w:szCs w:val="28"/>
        </w:rPr>
        <w:t>Relevant sector competency</w:t>
      </w:r>
    </w:p>
    <w:p w:rsidR="00D3370C" w:rsidRDefault="00D3370C" w:rsidP="00BF65E4">
      <w:pPr>
        <w:pStyle w:val="ListParagraph"/>
        <w:numPr>
          <w:ilvl w:val="0"/>
          <w:numId w:val="20"/>
        </w:numPr>
        <w:shd w:val="clear" w:color="auto" w:fill="FFFFFF"/>
        <w:spacing w:beforeAutospacing="1" w:after="0" w:afterAutospacing="1" w:line="420" w:lineRule="atLeast"/>
        <w:rPr>
          <w:rFonts w:ascii="Times New Roman" w:eastAsiaTheme="majorEastAsia" w:hAnsi="Times New Roman" w:cs="Times New Roman"/>
          <w:b/>
          <w:bCs/>
          <w:color w:val="555555"/>
          <w:spacing w:val="3"/>
          <w:sz w:val="28"/>
          <w:szCs w:val="28"/>
        </w:rPr>
      </w:pPr>
      <w:r w:rsidRPr="009D1712">
        <w:rPr>
          <w:rFonts w:ascii="Times New Roman" w:eastAsiaTheme="majorEastAsia" w:hAnsi="Times New Roman" w:cs="Times New Roman"/>
          <w:b/>
          <w:bCs/>
          <w:color w:val="555555"/>
          <w:spacing w:val="3"/>
          <w:sz w:val="28"/>
          <w:szCs w:val="28"/>
        </w:rPr>
        <w:t>Release the results</w:t>
      </w:r>
    </w:p>
    <w:p w:rsidR="009D1712" w:rsidRPr="009D1712" w:rsidRDefault="009D1712" w:rsidP="009D1712">
      <w:pPr>
        <w:pStyle w:val="ListParagraph"/>
        <w:shd w:val="clear" w:color="auto" w:fill="FFFFFF"/>
        <w:spacing w:beforeAutospacing="1" w:after="0" w:afterAutospacing="1" w:line="420" w:lineRule="atLeast"/>
        <w:ind w:left="1080"/>
        <w:rPr>
          <w:rFonts w:ascii="Times New Roman" w:eastAsiaTheme="majorEastAsia" w:hAnsi="Times New Roman" w:cs="Times New Roman"/>
          <w:b/>
          <w:bCs/>
          <w:color w:val="555555"/>
          <w:spacing w:val="3"/>
          <w:sz w:val="28"/>
          <w:szCs w:val="28"/>
        </w:rPr>
      </w:pPr>
    </w:p>
    <w:p w:rsidR="00D3370C" w:rsidRDefault="00D3370C" w:rsidP="009D1712">
      <w:pPr>
        <w:pStyle w:val="ListParagraph"/>
        <w:shd w:val="clear" w:color="auto" w:fill="FFFFFF"/>
        <w:spacing w:after="150" w:line="240" w:lineRule="auto"/>
        <w:rPr>
          <w:rFonts w:ascii="Times New Roman" w:hAnsi="Times New Roman" w:cs="Times New Roman"/>
          <w:sz w:val="28"/>
          <w:szCs w:val="28"/>
        </w:rPr>
      </w:pPr>
      <w:r w:rsidRPr="009D1712">
        <w:rPr>
          <w:rFonts w:ascii="Times New Roman" w:hAnsi="Times New Roman" w:cs="Times New Roman"/>
          <w:sz w:val="28"/>
          <w:szCs w:val="28"/>
        </w:rPr>
        <w:lastRenderedPageBreak/>
        <w:t xml:space="preserve">Final results of the interviews should inform to the applicants and pass </w:t>
      </w:r>
      <w:r w:rsidR="009D1712">
        <w:rPr>
          <w:rFonts w:ascii="Times New Roman" w:hAnsi="Times New Roman" w:cs="Times New Roman"/>
          <w:sz w:val="28"/>
          <w:szCs w:val="28"/>
        </w:rPr>
        <w:t>candidate enter to the NVQ system.</w:t>
      </w:r>
    </w:p>
    <w:p w:rsidR="00251073" w:rsidRPr="009D1712" w:rsidRDefault="00251073" w:rsidP="009D1712">
      <w:pPr>
        <w:pStyle w:val="ListParagraph"/>
        <w:shd w:val="clear" w:color="auto" w:fill="FFFFFF"/>
        <w:spacing w:after="150" w:line="240" w:lineRule="auto"/>
        <w:rPr>
          <w:rFonts w:ascii="Times New Roman" w:hAnsi="Times New Roman" w:cs="Times New Roman"/>
          <w:sz w:val="28"/>
          <w:szCs w:val="28"/>
        </w:rPr>
      </w:pPr>
    </w:p>
    <w:p w:rsidR="00D3370C" w:rsidRPr="009D1712" w:rsidRDefault="00D3370C" w:rsidP="00BF65E4">
      <w:pPr>
        <w:pStyle w:val="ListParagraph"/>
        <w:numPr>
          <w:ilvl w:val="0"/>
          <w:numId w:val="20"/>
        </w:numPr>
        <w:shd w:val="clear" w:color="auto" w:fill="FFFFFF"/>
        <w:spacing w:beforeAutospacing="1" w:after="0" w:afterAutospacing="1" w:line="420" w:lineRule="atLeast"/>
        <w:rPr>
          <w:rFonts w:ascii="Times New Roman" w:eastAsiaTheme="majorEastAsia" w:hAnsi="Times New Roman" w:cs="Times New Roman"/>
          <w:b/>
          <w:bCs/>
          <w:color w:val="555555"/>
          <w:spacing w:val="3"/>
          <w:sz w:val="28"/>
          <w:szCs w:val="28"/>
        </w:rPr>
      </w:pPr>
      <w:r w:rsidRPr="009D1712">
        <w:rPr>
          <w:rFonts w:ascii="Times New Roman" w:eastAsiaTheme="majorEastAsia" w:hAnsi="Times New Roman" w:cs="Times New Roman"/>
          <w:b/>
          <w:bCs/>
          <w:color w:val="555555"/>
          <w:spacing w:val="3"/>
          <w:sz w:val="28"/>
          <w:szCs w:val="28"/>
        </w:rPr>
        <w:t>Award NVQ Level 5 equivalence qualification to the applicants </w:t>
      </w:r>
    </w:p>
    <w:p w:rsidR="009D1712" w:rsidRDefault="009D1712" w:rsidP="009D1712">
      <w:pPr>
        <w:shd w:val="clear" w:color="auto" w:fill="FFFFFF"/>
        <w:spacing w:before="100" w:beforeAutospacing="1" w:after="0" w:line="240" w:lineRule="auto"/>
        <w:ind w:left="720"/>
        <w:jc w:val="both"/>
        <w:rPr>
          <w:rFonts w:ascii="Times New Roman" w:hAnsi="Times New Roman" w:cs="Times New Roman"/>
          <w:sz w:val="28"/>
          <w:szCs w:val="28"/>
        </w:rPr>
      </w:pPr>
      <w:r w:rsidRPr="009D1712">
        <w:rPr>
          <w:rFonts w:ascii="Times New Roman" w:hAnsi="Times New Roman" w:cs="Times New Roman"/>
          <w:sz w:val="28"/>
          <w:szCs w:val="28"/>
        </w:rPr>
        <w:t>Applicants who</w:t>
      </w:r>
      <w:r w:rsidR="00251073">
        <w:rPr>
          <w:rFonts w:ascii="Times New Roman" w:hAnsi="Times New Roman" w:cs="Times New Roman"/>
          <w:sz w:val="28"/>
          <w:szCs w:val="28"/>
        </w:rPr>
        <w:t xml:space="preserve"> are competent in the viva voce </w:t>
      </w:r>
      <w:r w:rsidRPr="009D1712">
        <w:rPr>
          <w:rFonts w:ascii="Times New Roman" w:hAnsi="Times New Roman" w:cs="Times New Roman"/>
          <w:sz w:val="28"/>
          <w:szCs w:val="28"/>
        </w:rPr>
        <w:t xml:space="preserve">interview can obtain </w:t>
      </w:r>
      <w:r>
        <w:rPr>
          <w:rFonts w:ascii="Times New Roman" w:hAnsi="Times New Roman" w:cs="Times New Roman"/>
          <w:sz w:val="28"/>
          <w:szCs w:val="28"/>
        </w:rPr>
        <w:t xml:space="preserve">the relevant </w:t>
      </w:r>
      <w:r w:rsidRPr="009D1712">
        <w:rPr>
          <w:rFonts w:ascii="Times New Roman" w:hAnsi="Times New Roman" w:cs="Times New Roman"/>
          <w:sz w:val="28"/>
          <w:szCs w:val="28"/>
        </w:rPr>
        <w:t>NVQ Level 5 equivalence qualification</w:t>
      </w:r>
      <w:r w:rsidR="00251073">
        <w:rPr>
          <w:rFonts w:ascii="Times New Roman" w:hAnsi="Times New Roman" w:cs="Times New Roman"/>
          <w:sz w:val="28"/>
          <w:szCs w:val="28"/>
        </w:rPr>
        <w:t>.</w:t>
      </w:r>
    </w:p>
    <w:p w:rsidR="009D1712" w:rsidRPr="009D1712" w:rsidRDefault="009D1712" w:rsidP="009D1712">
      <w:pPr>
        <w:shd w:val="clear" w:color="auto" w:fill="FFFFFF"/>
        <w:spacing w:before="100" w:beforeAutospacing="1" w:after="0" w:line="240" w:lineRule="auto"/>
        <w:ind w:left="720"/>
        <w:jc w:val="both"/>
        <w:rPr>
          <w:rFonts w:ascii="Times New Roman" w:hAnsi="Times New Roman" w:cs="Times New Roman"/>
          <w:sz w:val="28"/>
          <w:szCs w:val="28"/>
        </w:rPr>
      </w:pPr>
    </w:p>
    <w:p w:rsidR="009D1712" w:rsidRDefault="00251073" w:rsidP="009D1712">
      <w:pPr>
        <w:pStyle w:val="ListParagraph"/>
        <w:numPr>
          <w:ilvl w:val="0"/>
          <w:numId w:val="20"/>
        </w:numPr>
        <w:shd w:val="clear" w:color="auto" w:fill="FFFFFF"/>
        <w:spacing w:after="0" w:line="420" w:lineRule="atLeast"/>
        <w:rPr>
          <w:rFonts w:ascii="Times New Roman" w:eastAsiaTheme="majorEastAsia" w:hAnsi="Times New Roman" w:cs="Times New Roman"/>
          <w:b/>
          <w:bCs/>
          <w:color w:val="555555"/>
          <w:spacing w:val="3"/>
          <w:sz w:val="28"/>
          <w:szCs w:val="28"/>
        </w:rPr>
      </w:pPr>
      <w:r>
        <w:rPr>
          <w:rFonts w:ascii="Times New Roman" w:eastAsiaTheme="majorEastAsia" w:hAnsi="Times New Roman" w:cs="Times New Roman"/>
          <w:b/>
          <w:bCs/>
          <w:color w:val="555555"/>
          <w:spacing w:val="3"/>
          <w:sz w:val="28"/>
          <w:szCs w:val="28"/>
        </w:rPr>
        <w:t xml:space="preserve">Conduct the second viva voce </w:t>
      </w:r>
      <w:r w:rsidR="009D1712" w:rsidRPr="009D1712">
        <w:rPr>
          <w:rFonts w:ascii="Times New Roman" w:eastAsiaTheme="majorEastAsia" w:hAnsi="Times New Roman" w:cs="Times New Roman"/>
          <w:b/>
          <w:bCs/>
          <w:color w:val="555555"/>
          <w:spacing w:val="3"/>
          <w:sz w:val="28"/>
          <w:szCs w:val="28"/>
        </w:rPr>
        <w:t>interview for applicants who were not successful in their first viva voce/interview</w:t>
      </w:r>
    </w:p>
    <w:p w:rsidR="009D1712" w:rsidRPr="009D1712" w:rsidRDefault="009D1712" w:rsidP="009D1712">
      <w:pPr>
        <w:pStyle w:val="ListParagraph"/>
        <w:shd w:val="clear" w:color="auto" w:fill="FFFFFF"/>
        <w:spacing w:after="0" w:line="420" w:lineRule="atLeast"/>
        <w:ind w:left="1080"/>
        <w:rPr>
          <w:rFonts w:ascii="Times New Roman" w:eastAsiaTheme="majorEastAsia" w:hAnsi="Times New Roman" w:cs="Times New Roman"/>
          <w:b/>
          <w:bCs/>
          <w:color w:val="555555"/>
          <w:spacing w:val="3"/>
          <w:sz w:val="28"/>
          <w:szCs w:val="28"/>
        </w:rPr>
      </w:pPr>
    </w:p>
    <w:p w:rsidR="00F369B7" w:rsidRDefault="009D1712" w:rsidP="00251073">
      <w:pPr>
        <w:shd w:val="clear" w:color="auto" w:fill="FFFFFF"/>
        <w:spacing w:after="0" w:line="420" w:lineRule="atLeast"/>
        <w:ind w:left="720"/>
        <w:jc w:val="both"/>
        <w:rPr>
          <w:rFonts w:ascii="Times New Roman" w:hAnsi="Times New Roman" w:cs="Times New Roman"/>
          <w:sz w:val="28"/>
          <w:szCs w:val="28"/>
        </w:rPr>
      </w:pPr>
      <w:r w:rsidRPr="009D1712">
        <w:rPr>
          <w:rFonts w:ascii="Times New Roman" w:hAnsi="Times New Roman" w:cs="Times New Roman"/>
          <w:sz w:val="28"/>
          <w:szCs w:val="28"/>
        </w:rPr>
        <w:t xml:space="preserve">Applicants who are not competent in the first interview will have to wait at least 2 months from the date of the first interview before their second interview. The panel </w:t>
      </w:r>
      <w:r>
        <w:rPr>
          <w:rFonts w:ascii="Times New Roman" w:hAnsi="Times New Roman" w:cs="Times New Roman"/>
          <w:sz w:val="28"/>
          <w:szCs w:val="28"/>
        </w:rPr>
        <w:t>of</w:t>
      </w:r>
      <w:r w:rsidRPr="009D1712">
        <w:rPr>
          <w:rFonts w:ascii="Times New Roman" w:hAnsi="Times New Roman" w:cs="Times New Roman"/>
          <w:sz w:val="28"/>
          <w:szCs w:val="28"/>
        </w:rPr>
        <w:t xml:space="preserve"> the viva voce will determine the date of the repeat </w:t>
      </w:r>
      <w:r>
        <w:rPr>
          <w:rFonts w:ascii="Times New Roman" w:hAnsi="Times New Roman" w:cs="Times New Roman"/>
          <w:sz w:val="28"/>
          <w:szCs w:val="28"/>
        </w:rPr>
        <w:t xml:space="preserve">viva </w:t>
      </w:r>
      <w:r w:rsidR="006811AF">
        <w:rPr>
          <w:rFonts w:ascii="Times New Roman" w:hAnsi="Times New Roman" w:cs="Times New Roman"/>
          <w:sz w:val="28"/>
          <w:szCs w:val="28"/>
        </w:rPr>
        <w:t xml:space="preserve">voce </w:t>
      </w:r>
      <w:r w:rsidR="006811AF" w:rsidRPr="009D1712">
        <w:rPr>
          <w:rFonts w:ascii="Times New Roman" w:hAnsi="Times New Roman" w:cs="Times New Roman"/>
          <w:sz w:val="28"/>
          <w:szCs w:val="28"/>
        </w:rPr>
        <w:t>based</w:t>
      </w:r>
      <w:r w:rsidRPr="009D1712">
        <w:rPr>
          <w:rFonts w:ascii="Times New Roman" w:hAnsi="Times New Roman" w:cs="Times New Roman"/>
          <w:sz w:val="28"/>
          <w:szCs w:val="28"/>
        </w:rPr>
        <w:t xml:space="preserve"> on the </w:t>
      </w:r>
      <w:r w:rsidR="006811AF">
        <w:rPr>
          <w:rFonts w:ascii="Times New Roman" w:hAnsi="Times New Roman" w:cs="Times New Roman"/>
          <w:sz w:val="28"/>
          <w:szCs w:val="28"/>
        </w:rPr>
        <w:t xml:space="preserve">magnitude </w:t>
      </w:r>
      <w:r w:rsidR="006811AF" w:rsidRPr="009D1712">
        <w:rPr>
          <w:rFonts w:ascii="Times New Roman" w:hAnsi="Times New Roman" w:cs="Times New Roman"/>
          <w:sz w:val="28"/>
          <w:szCs w:val="28"/>
        </w:rPr>
        <w:t>of</w:t>
      </w:r>
      <w:r w:rsidRPr="009D1712">
        <w:rPr>
          <w:rFonts w:ascii="Times New Roman" w:hAnsi="Times New Roman" w:cs="Times New Roman"/>
          <w:sz w:val="28"/>
          <w:szCs w:val="28"/>
        </w:rPr>
        <w:t xml:space="preserve"> the knowledge gap</w:t>
      </w:r>
      <w:r w:rsidR="00251073">
        <w:rPr>
          <w:rFonts w:ascii="Times New Roman" w:hAnsi="Times New Roman" w:cs="Times New Roman"/>
          <w:sz w:val="28"/>
          <w:szCs w:val="28"/>
        </w:rPr>
        <w:t>.</w:t>
      </w:r>
    </w:p>
    <w:p w:rsidR="009D1712" w:rsidRPr="009D1712" w:rsidRDefault="009D1712" w:rsidP="00F369B7">
      <w:pPr>
        <w:shd w:val="clear" w:color="auto" w:fill="FFFFFF"/>
        <w:spacing w:after="0" w:line="420" w:lineRule="atLeast"/>
        <w:rPr>
          <w:rFonts w:ascii="Times New Roman" w:hAnsi="Times New Roman" w:cs="Times New Roman"/>
          <w:sz w:val="28"/>
          <w:szCs w:val="28"/>
        </w:rPr>
      </w:pPr>
    </w:p>
    <w:p w:rsidR="00F369B7" w:rsidRDefault="00F369B7" w:rsidP="00F369B7">
      <w:pPr>
        <w:pStyle w:val="Heading4"/>
        <w:shd w:val="clear" w:color="auto" w:fill="FFFFFF"/>
        <w:spacing w:before="0"/>
        <w:rPr>
          <w:rStyle w:val="Strong"/>
          <w:rFonts w:ascii="Arial" w:hAnsi="Arial" w:cs="Arial"/>
          <w:b/>
          <w:bCs/>
          <w:i w:val="0"/>
          <w:iCs w:val="0"/>
          <w:color w:val="0000FF"/>
          <w:sz w:val="28"/>
          <w:szCs w:val="28"/>
        </w:rPr>
      </w:pPr>
      <w:r w:rsidRPr="00BF65E4">
        <w:rPr>
          <w:rStyle w:val="Strong"/>
          <w:rFonts w:ascii="Arial" w:hAnsi="Arial" w:cs="Arial"/>
          <w:b/>
          <w:bCs/>
          <w:i w:val="0"/>
          <w:iCs w:val="0"/>
          <w:color w:val="0000FF"/>
          <w:sz w:val="28"/>
          <w:szCs w:val="28"/>
          <w:highlight w:val="lightGray"/>
        </w:rPr>
        <w:t>Importance of having NVQ Level 5 Equivalence Qualification through the Mature Candidate Route</w:t>
      </w:r>
    </w:p>
    <w:p w:rsidR="00F369B7" w:rsidRPr="00F369B7" w:rsidRDefault="00F369B7" w:rsidP="00F369B7"/>
    <w:p w:rsidR="00F369B7" w:rsidRPr="00251073" w:rsidRDefault="00F369B7" w:rsidP="00251073">
      <w:pPr>
        <w:pStyle w:val="NormalWeb"/>
        <w:shd w:val="clear" w:color="auto" w:fill="FFFFFF"/>
        <w:spacing w:before="0" w:beforeAutospacing="0" w:after="150" w:afterAutospacing="0" w:line="360" w:lineRule="auto"/>
        <w:jc w:val="both"/>
        <w:rPr>
          <w:rFonts w:eastAsiaTheme="minorHAnsi"/>
          <w:sz w:val="28"/>
          <w:szCs w:val="28"/>
        </w:rPr>
      </w:pPr>
      <w:r w:rsidRPr="00251073">
        <w:rPr>
          <w:rFonts w:eastAsiaTheme="minorHAnsi"/>
          <w:sz w:val="28"/>
          <w:szCs w:val="28"/>
        </w:rPr>
        <w:t>Public Administration Circular 02/2009 specifies National Vocational Qualification (NVQ) Levels for different categories of employment in the public sector. This is an alternative path for obtaining NVQ Level 5 equivalency and it will facilitate you to be able to place in appropriate positions and salary scales applicable to respective supervisory / Management position.</w:t>
      </w:r>
    </w:p>
    <w:p w:rsidR="00F369B7" w:rsidRPr="00251073" w:rsidRDefault="00F369B7" w:rsidP="00251073">
      <w:pPr>
        <w:pStyle w:val="NormalWeb"/>
        <w:shd w:val="clear" w:color="auto" w:fill="FFFFFF"/>
        <w:spacing w:before="0" w:beforeAutospacing="0" w:after="150" w:afterAutospacing="0" w:line="360" w:lineRule="auto"/>
        <w:jc w:val="both"/>
        <w:rPr>
          <w:rFonts w:eastAsiaTheme="minorHAnsi"/>
          <w:sz w:val="28"/>
          <w:szCs w:val="28"/>
        </w:rPr>
      </w:pPr>
      <w:r w:rsidRPr="00251073">
        <w:rPr>
          <w:rFonts w:eastAsiaTheme="minorHAnsi"/>
          <w:sz w:val="28"/>
          <w:szCs w:val="28"/>
        </w:rPr>
        <w:t>TVEC issues this qualification only for the employability purposes and not applicable for the higher studies or teaching purposes.</w:t>
      </w:r>
    </w:p>
    <w:p w:rsidR="00F369B7" w:rsidRDefault="00F369B7" w:rsidP="00F369B7">
      <w:pPr>
        <w:shd w:val="clear" w:color="auto" w:fill="FFFFFF"/>
        <w:spacing w:after="0" w:line="420" w:lineRule="atLeast"/>
        <w:jc w:val="both"/>
        <w:rPr>
          <w:rFonts w:ascii="Arial" w:eastAsia="Times New Roman" w:hAnsi="Arial" w:cs="Arial"/>
          <w:color w:val="555555"/>
          <w:sz w:val="21"/>
          <w:szCs w:val="21"/>
        </w:rPr>
      </w:pPr>
    </w:p>
    <w:p w:rsidR="00F32BB8" w:rsidRDefault="00F32BB8" w:rsidP="00F369B7">
      <w:pPr>
        <w:shd w:val="clear" w:color="auto" w:fill="FFFFFF"/>
        <w:spacing w:after="0" w:line="420" w:lineRule="atLeast"/>
        <w:jc w:val="both"/>
        <w:rPr>
          <w:rFonts w:ascii="Arial" w:eastAsia="Times New Roman" w:hAnsi="Arial" w:cs="Arial"/>
          <w:color w:val="555555"/>
          <w:sz w:val="21"/>
          <w:szCs w:val="21"/>
        </w:rPr>
      </w:pPr>
    </w:p>
    <w:p w:rsidR="002F340E" w:rsidRDefault="002F340E" w:rsidP="002F340E">
      <w:r w:rsidRPr="002F340E">
        <w:rPr>
          <w:rFonts w:cstheme="minorHAnsi"/>
          <w:sz w:val="28"/>
          <w:szCs w:val="28"/>
        </w:rPr>
        <w:t>Mature Candidate Route in Sinhala and Tamil Language</w:t>
      </w:r>
      <w:r>
        <w:t xml:space="preserve"> </w:t>
      </w:r>
      <w:r w:rsidRPr="002F340E">
        <w:rPr>
          <w:highlight w:val="yellow"/>
        </w:rPr>
        <w:t>please attached leaflet here</w:t>
      </w:r>
      <w:r>
        <w:t xml:space="preserve"> </w:t>
      </w:r>
    </w:p>
    <w:p w:rsidR="00F32BB8" w:rsidRPr="00F32BB8" w:rsidRDefault="00F32BB8" w:rsidP="00F369B7">
      <w:pPr>
        <w:shd w:val="clear" w:color="auto" w:fill="FFFFFF"/>
        <w:spacing w:after="0" w:line="420" w:lineRule="atLeast"/>
        <w:jc w:val="both"/>
        <w:rPr>
          <w:rFonts w:ascii="Arial" w:eastAsia="Times New Roman" w:hAnsi="Arial" w:cs="Arial"/>
          <w:b/>
          <w:bCs/>
          <w:color w:val="555555"/>
          <w:sz w:val="21"/>
          <w:szCs w:val="21"/>
        </w:rPr>
      </w:pPr>
    </w:p>
    <w:p w:rsidR="00F32BB8" w:rsidRDefault="00F32BB8" w:rsidP="00F32BB8">
      <w:pPr>
        <w:pStyle w:val="Heading1"/>
        <w:shd w:val="clear" w:color="auto" w:fill="8DB3E2" w:themeFill="text2" w:themeFillTint="66"/>
        <w:spacing w:before="0"/>
        <w:rPr>
          <w:rStyle w:val="Strong"/>
          <w:b/>
          <w:bCs/>
          <w:color w:val="000000" w:themeColor="text1"/>
        </w:rPr>
      </w:pPr>
      <w:r w:rsidRPr="00BF65E4">
        <w:rPr>
          <w:rStyle w:val="Strong"/>
          <w:b/>
          <w:bCs/>
          <w:color w:val="FF0000"/>
        </w:rPr>
        <w:t>Notice</w:t>
      </w:r>
      <w:r w:rsidRPr="00F32BB8">
        <w:rPr>
          <w:rStyle w:val="Strong"/>
          <w:b/>
          <w:bCs/>
          <w:color w:val="000000" w:themeColor="text1"/>
        </w:rPr>
        <w:t xml:space="preserve"> </w:t>
      </w:r>
    </w:p>
    <w:p w:rsidR="00F32BB8" w:rsidRDefault="00F32BB8" w:rsidP="00F32BB8"/>
    <w:p w:rsidR="00F32BB8" w:rsidRDefault="00136E36" w:rsidP="00F32BB8">
      <w:pPr>
        <w:pStyle w:val="Heading3"/>
        <w:shd w:val="clear" w:color="auto" w:fill="FFFFFF"/>
        <w:spacing w:before="0" w:beforeAutospacing="0" w:after="0" w:afterAutospacing="0"/>
        <w:rPr>
          <w:rStyle w:val="Hyperlink"/>
          <w:rFonts w:ascii="Arial" w:hAnsi="Arial" w:cs="Arial"/>
          <w:b w:val="0"/>
          <w:bCs w:val="0"/>
        </w:rPr>
      </w:pPr>
      <w:hyperlink r:id="rId8" w:tgtFrame="_blank" w:history="1">
        <w:r w:rsidR="00F32BB8">
          <w:rPr>
            <w:rStyle w:val="Hyperlink"/>
            <w:rFonts w:ascii="Arial" w:hAnsi="Arial" w:cs="Arial"/>
            <w:b w:val="0"/>
            <w:bCs w:val="0"/>
          </w:rPr>
          <w:t>List of Eligible Candidates for Viva-Voce Interview on Mature Candidate Route for 2025 – First round</w:t>
        </w:r>
      </w:hyperlink>
    </w:p>
    <w:p w:rsidR="00136E36" w:rsidRDefault="00136E36" w:rsidP="00F32BB8">
      <w:pPr>
        <w:pStyle w:val="Heading3"/>
        <w:shd w:val="clear" w:color="auto" w:fill="FFFFFF"/>
        <w:spacing w:before="0" w:beforeAutospacing="0" w:after="0" w:afterAutospacing="0"/>
        <w:rPr>
          <w:rFonts w:ascii="Arial" w:hAnsi="Arial" w:cs="Arial"/>
          <w:b w:val="0"/>
          <w:bCs w:val="0"/>
        </w:rPr>
      </w:pPr>
      <w:r w:rsidRPr="00136E36">
        <w:rPr>
          <w:rFonts w:ascii="Arial" w:hAnsi="Arial" w:cs="Arial"/>
          <w:b w:val="0"/>
          <w:bCs w:val="0"/>
        </w:rPr>
        <w:t>https://www.tvec.gov.lk/wp-content/uploads/2025/02/web_publish.pdf</w:t>
      </w:r>
    </w:p>
    <w:p w:rsidR="00F32BB8" w:rsidRDefault="002F340E" w:rsidP="00F32BB8">
      <w:pPr>
        <w:shd w:val="clear" w:color="auto" w:fill="FFFFFF"/>
        <w:spacing w:after="0" w:line="420" w:lineRule="atLeast"/>
        <w:jc w:val="both"/>
        <w:rPr>
          <w:rFonts w:ascii="Arial" w:eastAsia="Times New Roman" w:hAnsi="Arial" w:cs="Arial"/>
          <w:color w:val="555555"/>
          <w:sz w:val="21"/>
          <w:szCs w:val="21"/>
        </w:rPr>
      </w:pPr>
      <w:r>
        <w:rPr>
          <w:rFonts w:ascii="Arial" w:eastAsia="Times New Roman" w:hAnsi="Arial" w:cs="Arial"/>
          <w:color w:val="555555"/>
          <w:sz w:val="21"/>
          <w:szCs w:val="21"/>
          <w:highlight w:val="yellow"/>
        </w:rPr>
        <w:t xml:space="preserve">(Area to </w:t>
      </w:r>
      <w:proofErr w:type="gramStart"/>
      <w:r>
        <w:rPr>
          <w:rFonts w:ascii="Arial" w:eastAsia="Times New Roman" w:hAnsi="Arial" w:cs="Arial"/>
          <w:color w:val="555555"/>
          <w:sz w:val="21"/>
          <w:szCs w:val="21"/>
          <w:highlight w:val="yellow"/>
        </w:rPr>
        <w:t xml:space="preserve">publish </w:t>
      </w:r>
      <w:r w:rsidR="00251073" w:rsidRPr="00251073">
        <w:rPr>
          <w:rFonts w:ascii="Arial" w:eastAsia="Times New Roman" w:hAnsi="Arial" w:cs="Arial"/>
          <w:color w:val="555555"/>
          <w:sz w:val="21"/>
          <w:szCs w:val="21"/>
          <w:highlight w:val="yellow"/>
        </w:rPr>
        <w:t xml:space="preserve"> notices</w:t>
      </w:r>
      <w:proofErr w:type="gramEnd"/>
      <w:r w:rsidR="00251073" w:rsidRPr="00251073">
        <w:rPr>
          <w:rFonts w:ascii="Arial" w:eastAsia="Times New Roman" w:hAnsi="Arial" w:cs="Arial"/>
          <w:color w:val="555555"/>
          <w:sz w:val="21"/>
          <w:szCs w:val="21"/>
          <w:highlight w:val="yellow"/>
        </w:rPr>
        <w:t>)</w:t>
      </w:r>
    </w:p>
    <w:p w:rsidR="002F340E" w:rsidRDefault="002F340E" w:rsidP="00F32BB8">
      <w:pPr>
        <w:shd w:val="clear" w:color="auto" w:fill="FFFFFF"/>
        <w:spacing w:after="0" w:line="420" w:lineRule="atLeast"/>
        <w:jc w:val="both"/>
        <w:rPr>
          <w:rFonts w:ascii="Arial" w:eastAsia="Times New Roman" w:hAnsi="Arial" w:cs="Arial"/>
          <w:color w:val="555555"/>
          <w:sz w:val="21"/>
          <w:szCs w:val="21"/>
        </w:rPr>
      </w:pPr>
    </w:p>
    <w:p w:rsidR="00F32BB8" w:rsidRPr="00BF65E4" w:rsidRDefault="00F32BB8" w:rsidP="00F32BB8">
      <w:pPr>
        <w:pStyle w:val="Heading1"/>
        <w:shd w:val="clear" w:color="auto" w:fill="8DB3E2" w:themeFill="text2" w:themeFillTint="66"/>
        <w:spacing w:before="0"/>
        <w:rPr>
          <w:rStyle w:val="Strong"/>
          <w:b/>
          <w:bCs/>
          <w:color w:val="FF0000"/>
        </w:rPr>
      </w:pPr>
      <w:r w:rsidRPr="00BF65E4">
        <w:rPr>
          <w:rStyle w:val="Strong"/>
          <w:b/>
          <w:bCs/>
          <w:color w:val="FF0000"/>
        </w:rPr>
        <w:t>Relevant Links</w:t>
      </w:r>
    </w:p>
    <w:p w:rsidR="00F32BB8" w:rsidRDefault="00F32BB8" w:rsidP="00F32BB8"/>
    <w:p w:rsidR="00F32BB8" w:rsidRPr="00F32BB8" w:rsidRDefault="00F32BB8" w:rsidP="00F32BB8">
      <w:pPr>
        <w:shd w:val="clear" w:color="auto" w:fill="FFFFFF"/>
        <w:spacing w:after="120" w:line="240" w:lineRule="auto"/>
        <w:outlineLvl w:val="2"/>
        <w:rPr>
          <w:rFonts w:ascii="Arial" w:eastAsia="Times New Roman" w:hAnsi="Arial" w:cs="Arial"/>
          <w:sz w:val="27"/>
          <w:szCs w:val="27"/>
        </w:rPr>
      </w:pPr>
      <w:r w:rsidRPr="00F32BB8">
        <w:rPr>
          <w:rFonts w:ascii="Arial" w:eastAsia="Times New Roman" w:hAnsi="Arial" w:cs="Arial"/>
          <w:sz w:val="27"/>
          <w:szCs w:val="27"/>
        </w:rPr>
        <w:t>Circulars</w:t>
      </w:r>
    </w:p>
    <w:p w:rsidR="00F32BB8" w:rsidRDefault="00136E36" w:rsidP="00F32BB8">
      <w:pPr>
        <w:numPr>
          <w:ilvl w:val="0"/>
          <w:numId w:val="16"/>
        </w:numPr>
        <w:shd w:val="clear" w:color="auto" w:fill="FFFFFF"/>
        <w:spacing w:after="0" w:line="420" w:lineRule="atLeast"/>
        <w:ind w:left="0"/>
        <w:rPr>
          <w:rFonts w:ascii="Arial" w:eastAsia="Times New Roman" w:hAnsi="Arial" w:cs="Arial"/>
          <w:color w:val="555555"/>
          <w:sz w:val="21"/>
          <w:szCs w:val="21"/>
        </w:rPr>
      </w:pPr>
      <w:hyperlink r:id="rId9" w:tgtFrame="_blank" w:history="1">
        <w:r w:rsidR="00F32BB8" w:rsidRPr="00804E0F">
          <w:rPr>
            <w:rFonts w:ascii="Arial" w:eastAsia="Times New Roman" w:hAnsi="Arial" w:cs="Arial"/>
            <w:color w:val="0000FF"/>
            <w:sz w:val="21"/>
            <w:szCs w:val="21"/>
          </w:rPr>
          <w:t>Circular No.01/2021</w:t>
        </w:r>
      </w:hyperlink>
      <w:r w:rsidR="00251073" w:rsidRPr="00804E0F">
        <w:rPr>
          <w:rFonts w:ascii="Arial" w:eastAsia="Times New Roman" w:hAnsi="Arial" w:cs="Arial"/>
          <w:color w:val="555555"/>
          <w:sz w:val="21"/>
          <w:szCs w:val="21"/>
        </w:rPr>
        <w:t xml:space="preserve"> </w:t>
      </w:r>
      <w:r w:rsidR="002F340E" w:rsidRPr="00804E0F">
        <w:rPr>
          <w:rFonts w:ascii="Arial" w:eastAsia="Times New Roman" w:hAnsi="Arial" w:cs="Arial"/>
          <w:color w:val="555555"/>
          <w:sz w:val="21"/>
          <w:szCs w:val="21"/>
        </w:rPr>
        <w:t xml:space="preserve">  </w:t>
      </w:r>
    </w:p>
    <w:p w:rsidR="00136E36" w:rsidRPr="00804E0F" w:rsidRDefault="00136E36" w:rsidP="00136E36">
      <w:pPr>
        <w:shd w:val="clear" w:color="auto" w:fill="FFFFFF"/>
        <w:spacing w:after="0" w:line="420" w:lineRule="atLeast"/>
        <w:rPr>
          <w:rFonts w:ascii="Arial" w:eastAsia="Times New Roman" w:hAnsi="Arial" w:cs="Arial"/>
          <w:color w:val="555555"/>
          <w:sz w:val="21"/>
          <w:szCs w:val="21"/>
        </w:rPr>
      </w:pPr>
      <w:r w:rsidRPr="00136E36">
        <w:rPr>
          <w:rFonts w:ascii="Arial" w:eastAsia="Times New Roman" w:hAnsi="Arial" w:cs="Arial"/>
          <w:color w:val="555555"/>
          <w:sz w:val="21"/>
          <w:szCs w:val="21"/>
        </w:rPr>
        <w:t>https://www.tvec.gov.lk/wp-content/uploads/2021/06/Mature_Candidate_Circular_Revised_2021.pdf</w:t>
      </w:r>
    </w:p>
    <w:p w:rsidR="002F340E" w:rsidRDefault="00136E36" w:rsidP="00F32BB8">
      <w:pPr>
        <w:numPr>
          <w:ilvl w:val="0"/>
          <w:numId w:val="16"/>
        </w:numPr>
        <w:shd w:val="clear" w:color="auto" w:fill="FFFFFF"/>
        <w:spacing w:after="0" w:line="420" w:lineRule="atLeast"/>
        <w:ind w:left="0"/>
        <w:rPr>
          <w:rFonts w:ascii="Arial" w:eastAsia="Times New Roman" w:hAnsi="Arial" w:cs="Arial"/>
          <w:color w:val="555555"/>
          <w:sz w:val="21"/>
          <w:szCs w:val="21"/>
        </w:rPr>
      </w:pPr>
      <w:hyperlink r:id="rId10" w:tgtFrame="_blank" w:history="1">
        <w:r w:rsidR="00F32BB8" w:rsidRPr="002F340E">
          <w:rPr>
            <w:rFonts w:ascii="Arial" w:eastAsia="Times New Roman" w:hAnsi="Arial" w:cs="Arial"/>
            <w:color w:val="0000FF"/>
            <w:sz w:val="21"/>
            <w:szCs w:val="21"/>
          </w:rPr>
          <w:t>Circular No 02/2022</w:t>
        </w:r>
      </w:hyperlink>
      <w:r w:rsidR="002F340E" w:rsidRPr="002F340E">
        <w:rPr>
          <w:rFonts w:ascii="Arial" w:eastAsia="Times New Roman" w:hAnsi="Arial" w:cs="Arial"/>
          <w:color w:val="555555"/>
          <w:sz w:val="21"/>
          <w:szCs w:val="21"/>
        </w:rPr>
        <w:t xml:space="preserve">   </w:t>
      </w:r>
    </w:p>
    <w:p w:rsidR="00136E36" w:rsidRDefault="00136E36" w:rsidP="00136E36">
      <w:pPr>
        <w:shd w:val="clear" w:color="auto" w:fill="FFFFFF"/>
        <w:spacing w:after="0" w:line="420" w:lineRule="atLeast"/>
        <w:rPr>
          <w:rFonts w:ascii="Arial" w:eastAsia="Times New Roman" w:hAnsi="Arial" w:cs="Arial"/>
          <w:color w:val="555555"/>
          <w:sz w:val="21"/>
          <w:szCs w:val="21"/>
        </w:rPr>
      </w:pPr>
      <w:hyperlink r:id="rId11" w:history="1">
        <w:r w:rsidRPr="00136E36">
          <w:rPr>
            <w:color w:val="555555"/>
          </w:rPr>
          <w:t>https://www.tvec.gov.lk/wp-content/uploads/2022/02/NVQ_Circular_02_2022.pdf</w:t>
        </w:r>
      </w:hyperlink>
    </w:p>
    <w:p w:rsidR="00136E36" w:rsidRDefault="00136E36" w:rsidP="00136E36">
      <w:pPr>
        <w:shd w:val="clear" w:color="auto" w:fill="FFFFFF"/>
        <w:spacing w:after="0" w:line="420" w:lineRule="atLeast"/>
        <w:rPr>
          <w:rFonts w:ascii="Arial" w:eastAsia="Times New Roman" w:hAnsi="Arial" w:cs="Arial"/>
          <w:color w:val="555555"/>
          <w:sz w:val="21"/>
          <w:szCs w:val="21"/>
        </w:rPr>
      </w:pPr>
      <w:bookmarkStart w:id="0" w:name="_GoBack"/>
      <w:bookmarkEnd w:id="0"/>
    </w:p>
    <w:p w:rsidR="00136E36" w:rsidRPr="00136E36" w:rsidRDefault="00136E36" w:rsidP="00F32BB8">
      <w:pPr>
        <w:numPr>
          <w:ilvl w:val="0"/>
          <w:numId w:val="16"/>
        </w:numPr>
        <w:shd w:val="clear" w:color="auto" w:fill="FFFFFF"/>
        <w:spacing w:after="120" w:line="240" w:lineRule="auto"/>
        <w:ind w:left="0"/>
        <w:outlineLvl w:val="2"/>
      </w:pPr>
      <w:hyperlink r:id="rId12" w:tgtFrame="_blank" w:history="1">
        <w:r w:rsidR="00F32BB8" w:rsidRPr="00804E0F">
          <w:rPr>
            <w:rFonts w:ascii="Arial" w:eastAsia="Times New Roman" w:hAnsi="Arial" w:cs="Arial"/>
            <w:color w:val="0000FF"/>
            <w:sz w:val="21"/>
            <w:szCs w:val="21"/>
          </w:rPr>
          <w:t>Circular No 02/2024</w:t>
        </w:r>
      </w:hyperlink>
      <w:r w:rsidR="00F32BB8" w:rsidRPr="00804E0F">
        <w:rPr>
          <w:rFonts w:ascii="Arial" w:eastAsia="Times New Roman" w:hAnsi="Arial" w:cs="Arial"/>
          <w:color w:val="555555"/>
          <w:sz w:val="21"/>
          <w:szCs w:val="21"/>
        </w:rPr>
        <w:t> </w:t>
      </w:r>
      <w:r w:rsidR="002F340E" w:rsidRPr="00804E0F">
        <w:rPr>
          <w:rFonts w:ascii="Arial" w:eastAsia="Times New Roman" w:hAnsi="Arial" w:cs="Arial"/>
          <w:color w:val="555555"/>
          <w:sz w:val="21"/>
          <w:szCs w:val="21"/>
        </w:rPr>
        <w:t xml:space="preserve"> </w:t>
      </w:r>
    </w:p>
    <w:p w:rsidR="00F32BB8" w:rsidRDefault="00136E36" w:rsidP="00136E36">
      <w:pPr>
        <w:shd w:val="clear" w:color="auto" w:fill="FFFFFF"/>
        <w:spacing w:after="120" w:line="240" w:lineRule="auto"/>
        <w:outlineLvl w:val="2"/>
      </w:pPr>
      <w:r w:rsidRPr="00136E36">
        <w:rPr>
          <w:rFonts w:ascii="Arial" w:eastAsia="Times New Roman" w:hAnsi="Arial" w:cs="Arial"/>
          <w:color w:val="555555"/>
          <w:sz w:val="21"/>
          <w:szCs w:val="21"/>
        </w:rPr>
        <w:t>https://www.tvec.gov.lk/wp-content/uploads/2024/02/circular_no_02_2024.pdf</w:t>
      </w:r>
      <w:r w:rsidR="002F340E" w:rsidRPr="00804E0F">
        <w:rPr>
          <w:rFonts w:ascii="Arial" w:eastAsia="Times New Roman" w:hAnsi="Arial" w:cs="Arial"/>
          <w:color w:val="555555"/>
          <w:sz w:val="21"/>
          <w:szCs w:val="21"/>
        </w:rPr>
        <w:t xml:space="preserve"> </w:t>
      </w:r>
    </w:p>
    <w:p w:rsidR="00F32BB8" w:rsidRDefault="00F32BB8" w:rsidP="00F32BB8">
      <w:pPr>
        <w:shd w:val="clear" w:color="auto" w:fill="FFFFFF"/>
        <w:spacing w:after="120" w:line="240" w:lineRule="auto"/>
        <w:outlineLvl w:val="2"/>
      </w:pPr>
    </w:p>
    <w:p w:rsidR="00F32BB8" w:rsidRPr="00F32BB8" w:rsidRDefault="00F32BB8" w:rsidP="00F32BB8">
      <w:pPr>
        <w:shd w:val="clear" w:color="auto" w:fill="FFFFFF"/>
        <w:spacing w:after="120" w:line="240" w:lineRule="auto"/>
        <w:outlineLvl w:val="2"/>
        <w:rPr>
          <w:rFonts w:ascii="Arial" w:eastAsia="Times New Roman" w:hAnsi="Arial" w:cs="Arial"/>
          <w:sz w:val="27"/>
          <w:szCs w:val="27"/>
        </w:rPr>
      </w:pPr>
      <w:r w:rsidRPr="00F32BB8">
        <w:rPr>
          <w:rFonts w:ascii="Arial" w:eastAsia="Times New Roman" w:hAnsi="Arial" w:cs="Arial"/>
          <w:sz w:val="27"/>
          <w:szCs w:val="27"/>
        </w:rPr>
        <w:t>Mature Candidate Application Form</w:t>
      </w:r>
    </w:p>
    <w:p w:rsidR="00F32BB8" w:rsidRPr="00804E0F" w:rsidRDefault="00136E36" w:rsidP="00F32BB8">
      <w:pPr>
        <w:numPr>
          <w:ilvl w:val="0"/>
          <w:numId w:val="17"/>
        </w:numPr>
        <w:shd w:val="clear" w:color="auto" w:fill="FFFFFF"/>
        <w:spacing w:after="0" w:line="420" w:lineRule="atLeast"/>
        <w:ind w:left="0"/>
        <w:rPr>
          <w:rFonts w:ascii="Arial" w:eastAsia="Times New Roman" w:hAnsi="Arial" w:cs="Arial"/>
          <w:color w:val="555555"/>
          <w:sz w:val="21"/>
          <w:szCs w:val="21"/>
        </w:rPr>
      </w:pPr>
      <w:hyperlink r:id="rId13" w:tgtFrame="_blank" w:history="1">
        <w:r w:rsidR="00F32BB8" w:rsidRPr="00804E0F">
          <w:rPr>
            <w:rFonts w:ascii="Arial" w:eastAsia="Times New Roman" w:hAnsi="Arial" w:cs="Arial"/>
            <w:color w:val="3333FF"/>
            <w:sz w:val="21"/>
            <w:szCs w:val="21"/>
          </w:rPr>
          <w:t>The Normal Process Online Application Form</w:t>
        </w:r>
      </w:hyperlink>
      <w:r w:rsidR="002F340E" w:rsidRPr="00804E0F">
        <w:rPr>
          <w:rFonts w:ascii="Arial" w:eastAsia="Times New Roman" w:hAnsi="Arial" w:cs="Arial"/>
          <w:color w:val="555555"/>
          <w:sz w:val="21"/>
          <w:szCs w:val="21"/>
        </w:rPr>
        <w:t xml:space="preserve">   </w:t>
      </w:r>
      <w:r w:rsidR="002F340E" w:rsidRPr="00804E0F">
        <w:rPr>
          <w:rFonts w:ascii="Arial" w:eastAsia="Times New Roman" w:hAnsi="Arial" w:cs="Arial"/>
          <w:color w:val="555555"/>
          <w:sz w:val="21"/>
          <w:szCs w:val="21"/>
          <w:highlight w:val="yellow"/>
        </w:rPr>
        <w:t>link to the system</w:t>
      </w:r>
      <w:r w:rsidR="002F340E" w:rsidRPr="00804E0F">
        <w:rPr>
          <w:rFonts w:ascii="Arial" w:eastAsia="Times New Roman" w:hAnsi="Arial" w:cs="Arial"/>
          <w:color w:val="555555"/>
          <w:sz w:val="21"/>
          <w:szCs w:val="21"/>
        </w:rPr>
        <w:t xml:space="preserve"> </w:t>
      </w:r>
    </w:p>
    <w:p w:rsidR="00136E36" w:rsidRDefault="00136E36" w:rsidP="00F32BB8">
      <w:pPr>
        <w:numPr>
          <w:ilvl w:val="0"/>
          <w:numId w:val="17"/>
        </w:numPr>
        <w:shd w:val="clear" w:color="auto" w:fill="FFFFFF"/>
        <w:spacing w:after="0" w:line="420" w:lineRule="atLeast"/>
        <w:ind w:left="0"/>
        <w:rPr>
          <w:rFonts w:ascii="Arial" w:eastAsia="Times New Roman" w:hAnsi="Arial" w:cs="Arial"/>
          <w:color w:val="3333FF"/>
          <w:sz w:val="21"/>
          <w:szCs w:val="21"/>
        </w:rPr>
      </w:pPr>
      <w:hyperlink r:id="rId14" w:tgtFrame="_blank" w:history="1">
        <w:r w:rsidR="00F32BB8" w:rsidRPr="00F32BB8">
          <w:rPr>
            <w:rFonts w:ascii="Arial" w:eastAsia="Times New Roman" w:hAnsi="Arial" w:cs="Arial"/>
            <w:color w:val="3333FF"/>
            <w:sz w:val="21"/>
            <w:szCs w:val="21"/>
          </w:rPr>
          <w:t>Speedy Process Application Form</w:t>
        </w:r>
      </w:hyperlink>
      <w:r w:rsidR="002F340E">
        <w:rPr>
          <w:rFonts w:ascii="Arial" w:eastAsia="Times New Roman" w:hAnsi="Arial" w:cs="Arial"/>
          <w:color w:val="3333FF"/>
          <w:sz w:val="21"/>
          <w:szCs w:val="21"/>
        </w:rPr>
        <w:t xml:space="preserve">  </w:t>
      </w:r>
      <w:r>
        <w:rPr>
          <w:rFonts w:ascii="Arial" w:eastAsia="Times New Roman" w:hAnsi="Arial" w:cs="Arial"/>
          <w:color w:val="3333FF"/>
          <w:sz w:val="21"/>
          <w:szCs w:val="21"/>
        </w:rPr>
        <w:t xml:space="preserve"> </w:t>
      </w:r>
    </w:p>
    <w:p w:rsidR="00F32BB8" w:rsidRPr="00136E36" w:rsidRDefault="00136E36" w:rsidP="00136E36">
      <w:pPr>
        <w:shd w:val="clear" w:color="auto" w:fill="FFFFFF"/>
        <w:spacing w:after="0" w:line="420" w:lineRule="atLeast"/>
        <w:rPr>
          <w:rFonts w:ascii="Arial" w:eastAsia="Times New Roman" w:hAnsi="Arial" w:cs="Arial"/>
          <w:color w:val="555555"/>
          <w:sz w:val="21"/>
          <w:szCs w:val="21"/>
        </w:rPr>
      </w:pPr>
      <w:r w:rsidRPr="00136E36">
        <w:rPr>
          <w:rFonts w:ascii="Arial" w:eastAsia="Times New Roman" w:hAnsi="Arial" w:cs="Arial"/>
          <w:color w:val="555555"/>
          <w:sz w:val="21"/>
          <w:szCs w:val="21"/>
        </w:rPr>
        <w:t>https://www.tvec.gov.lk/?page_id=5934</w:t>
      </w:r>
      <w:r w:rsidR="002F340E" w:rsidRPr="00136E36">
        <w:rPr>
          <w:rFonts w:ascii="Arial" w:eastAsia="Times New Roman" w:hAnsi="Arial" w:cs="Arial"/>
          <w:color w:val="555555"/>
          <w:sz w:val="21"/>
          <w:szCs w:val="21"/>
        </w:rPr>
        <w:t xml:space="preserve">  </w:t>
      </w:r>
    </w:p>
    <w:p w:rsidR="00F32BB8" w:rsidRDefault="00F32BB8" w:rsidP="00F32BB8">
      <w:pPr>
        <w:shd w:val="clear" w:color="auto" w:fill="FFFFFF"/>
        <w:spacing w:after="0" w:line="420" w:lineRule="atLeast"/>
        <w:rPr>
          <w:rFonts w:ascii="Arial" w:eastAsia="Times New Roman" w:hAnsi="Arial" w:cs="Arial"/>
          <w:color w:val="3333FF"/>
          <w:sz w:val="21"/>
          <w:szCs w:val="21"/>
        </w:rPr>
      </w:pPr>
    </w:p>
    <w:p w:rsidR="00F32BB8" w:rsidRPr="00F32BB8" w:rsidRDefault="00F32BB8" w:rsidP="00F32BB8">
      <w:pPr>
        <w:shd w:val="clear" w:color="auto" w:fill="FFFFFF"/>
        <w:spacing w:after="120" w:line="240" w:lineRule="auto"/>
        <w:outlineLvl w:val="2"/>
        <w:rPr>
          <w:rFonts w:ascii="Arial" w:eastAsia="Times New Roman" w:hAnsi="Arial" w:cs="Arial"/>
          <w:sz w:val="27"/>
          <w:szCs w:val="27"/>
        </w:rPr>
      </w:pPr>
      <w:r w:rsidRPr="00F32BB8">
        <w:rPr>
          <w:rFonts w:ascii="Arial" w:eastAsia="Times New Roman" w:hAnsi="Arial" w:cs="Arial"/>
          <w:sz w:val="27"/>
          <w:szCs w:val="27"/>
        </w:rPr>
        <w:t>Related Documents</w:t>
      </w:r>
    </w:p>
    <w:p w:rsidR="00136E36" w:rsidRPr="00136E36" w:rsidRDefault="00F32BB8" w:rsidP="00F32BB8">
      <w:pPr>
        <w:numPr>
          <w:ilvl w:val="0"/>
          <w:numId w:val="18"/>
        </w:numPr>
        <w:shd w:val="clear" w:color="auto" w:fill="FFFFFF"/>
        <w:spacing w:after="0" w:line="420" w:lineRule="atLeast"/>
        <w:ind w:left="0"/>
        <w:rPr>
          <w:rFonts w:ascii="Arial" w:eastAsia="Times New Roman" w:hAnsi="Arial" w:cs="Arial"/>
          <w:color w:val="555555"/>
          <w:sz w:val="21"/>
          <w:szCs w:val="21"/>
        </w:rPr>
      </w:pPr>
      <w:r w:rsidRPr="00804E0F">
        <w:rPr>
          <w:rFonts w:ascii="Arial" w:eastAsia="Times New Roman" w:hAnsi="Arial" w:cs="Arial"/>
          <w:color w:val="0000FF"/>
          <w:sz w:val="21"/>
          <w:szCs w:val="21"/>
        </w:rPr>
        <w:t>Evidence Portfolio </w:t>
      </w:r>
      <w:hyperlink r:id="rId15" w:tgtFrame="_blank" w:history="1">
        <w:r w:rsidRPr="00804E0F">
          <w:rPr>
            <w:rFonts w:ascii="Arial" w:eastAsia="Times New Roman" w:hAnsi="Arial" w:cs="Arial"/>
            <w:color w:val="0000FF"/>
            <w:sz w:val="21"/>
            <w:szCs w:val="21"/>
          </w:rPr>
          <w:t>Cover Page</w:t>
        </w:r>
      </w:hyperlink>
      <w:r w:rsidRPr="00804E0F">
        <w:rPr>
          <w:rFonts w:ascii="Arial" w:eastAsia="Times New Roman" w:hAnsi="Arial" w:cs="Arial"/>
          <w:color w:val="0000FF"/>
          <w:sz w:val="21"/>
          <w:szCs w:val="21"/>
        </w:rPr>
        <w:t> and </w:t>
      </w:r>
      <w:hyperlink r:id="rId16" w:tgtFrame="_blank" w:history="1">
        <w:r w:rsidRPr="00804E0F">
          <w:rPr>
            <w:rFonts w:ascii="Arial" w:eastAsia="Times New Roman" w:hAnsi="Arial" w:cs="Arial"/>
            <w:color w:val="0000FF"/>
            <w:sz w:val="21"/>
            <w:szCs w:val="21"/>
          </w:rPr>
          <w:t>Format</w:t>
        </w:r>
        <w:r w:rsidRPr="00804E0F">
          <w:rPr>
            <w:rFonts w:ascii="Arial" w:eastAsia="Times New Roman" w:hAnsi="Arial" w:cs="Arial"/>
            <w:color w:val="3333FF"/>
            <w:sz w:val="21"/>
            <w:szCs w:val="21"/>
          </w:rPr>
          <w:t xml:space="preserve"> ( Evidence Portfolio Writing Language  – English</w:t>
        </w:r>
      </w:hyperlink>
      <w:r w:rsidRPr="00804E0F">
        <w:rPr>
          <w:rFonts w:ascii="Arial" w:eastAsia="Times New Roman" w:hAnsi="Arial" w:cs="Arial"/>
          <w:color w:val="0000FF"/>
          <w:sz w:val="21"/>
          <w:szCs w:val="21"/>
        </w:rPr>
        <w:t>)</w:t>
      </w:r>
    </w:p>
    <w:p w:rsidR="00136E36" w:rsidRPr="00136E36" w:rsidRDefault="00136E36" w:rsidP="00136E36">
      <w:pPr>
        <w:shd w:val="clear" w:color="auto" w:fill="FFFFFF"/>
        <w:spacing w:after="0" w:line="420" w:lineRule="atLeast"/>
        <w:rPr>
          <w:rFonts w:ascii="Arial" w:eastAsia="Times New Roman" w:hAnsi="Arial" w:cs="Arial"/>
          <w:color w:val="555555"/>
          <w:sz w:val="21"/>
          <w:szCs w:val="21"/>
        </w:rPr>
      </w:pPr>
      <w:r w:rsidRPr="00136E36">
        <w:rPr>
          <w:rFonts w:ascii="Arial" w:eastAsia="Times New Roman" w:hAnsi="Arial" w:cs="Arial"/>
          <w:color w:val="555555"/>
          <w:sz w:val="21"/>
          <w:szCs w:val="21"/>
        </w:rPr>
        <w:t>https://www.tvec.gov.lk/wp-content/uploads/2020/09/04_MC_Evidence_Portfolio_Format.pdf</w:t>
      </w:r>
    </w:p>
    <w:p w:rsidR="00136E36" w:rsidRDefault="002F340E" w:rsidP="00F32BB8">
      <w:pPr>
        <w:numPr>
          <w:ilvl w:val="0"/>
          <w:numId w:val="18"/>
        </w:numPr>
        <w:shd w:val="clear" w:color="auto" w:fill="FFFFFF"/>
        <w:spacing w:after="0" w:line="420" w:lineRule="atLeast"/>
        <w:ind w:left="0"/>
        <w:rPr>
          <w:rFonts w:ascii="Arial" w:eastAsia="Times New Roman" w:hAnsi="Arial" w:cs="Arial"/>
          <w:color w:val="555555"/>
          <w:sz w:val="21"/>
          <w:szCs w:val="21"/>
        </w:rPr>
      </w:pPr>
      <w:r w:rsidRPr="00804E0F">
        <w:rPr>
          <w:rFonts w:ascii="Arial" w:eastAsia="Times New Roman" w:hAnsi="Arial" w:cs="Arial"/>
          <w:color w:val="0000FF"/>
          <w:sz w:val="21"/>
          <w:szCs w:val="21"/>
        </w:rPr>
        <w:t xml:space="preserve"> </w:t>
      </w:r>
      <w:hyperlink r:id="rId17" w:tgtFrame="_blank" w:history="1">
        <w:r w:rsidR="00F32BB8" w:rsidRPr="00804E0F">
          <w:rPr>
            <w:rFonts w:ascii="Arial" w:eastAsia="Times New Roman" w:hAnsi="Arial" w:cs="Arial"/>
            <w:color w:val="3333FF"/>
            <w:sz w:val="21"/>
            <w:szCs w:val="21"/>
          </w:rPr>
          <w:t>Mature Candidate Portfolio Certification Format</w:t>
        </w:r>
      </w:hyperlink>
      <w:r w:rsidRPr="00804E0F">
        <w:rPr>
          <w:rFonts w:ascii="Arial" w:eastAsia="Times New Roman" w:hAnsi="Arial" w:cs="Arial"/>
          <w:color w:val="555555"/>
          <w:sz w:val="21"/>
          <w:szCs w:val="21"/>
        </w:rPr>
        <w:t xml:space="preserve">   </w:t>
      </w:r>
    </w:p>
    <w:p w:rsidR="00F32BB8" w:rsidRPr="00804E0F" w:rsidRDefault="00136E36" w:rsidP="00136E36">
      <w:pPr>
        <w:shd w:val="clear" w:color="auto" w:fill="FFFFFF"/>
        <w:spacing w:after="0" w:line="420" w:lineRule="atLeast"/>
        <w:rPr>
          <w:rFonts w:ascii="Arial" w:eastAsia="Times New Roman" w:hAnsi="Arial" w:cs="Arial"/>
          <w:color w:val="555555"/>
          <w:sz w:val="21"/>
          <w:szCs w:val="21"/>
        </w:rPr>
      </w:pPr>
      <w:r w:rsidRPr="00136E36">
        <w:rPr>
          <w:rFonts w:ascii="Arial" w:eastAsia="Times New Roman" w:hAnsi="Arial" w:cs="Arial"/>
          <w:color w:val="555555"/>
          <w:sz w:val="21"/>
          <w:szCs w:val="21"/>
        </w:rPr>
        <w:t>https://www.tvec.gov.lk/wp-content/uploads/2021/07/Evidence_Portfolio_Certification_FormV2.pdf</w:t>
      </w:r>
      <w:r w:rsidR="002F340E" w:rsidRPr="00804E0F">
        <w:rPr>
          <w:rFonts w:ascii="Arial" w:eastAsia="Times New Roman" w:hAnsi="Arial" w:cs="Arial"/>
          <w:color w:val="555555"/>
          <w:sz w:val="21"/>
          <w:szCs w:val="21"/>
        </w:rPr>
        <w:t xml:space="preserve"> </w:t>
      </w:r>
    </w:p>
    <w:p w:rsidR="00136E36" w:rsidRDefault="00136E36" w:rsidP="00F32BB8">
      <w:pPr>
        <w:numPr>
          <w:ilvl w:val="0"/>
          <w:numId w:val="18"/>
        </w:numPr>
        <w:shd w:val="clear" w:color="auto" w:fill="FFFFFF"/>
        <w:spacing w:after="0" w:line="420" w:lineRule="atLeast"/>
        <w:ind w:left="0"/>
        <w:rPr>
          <w:rFonts w:ascii="Arial" w:eastAsia="Times New Roman" w:hAnsi="Arial" w:cs="Arial"/>
          <w:color w:val="555555"/>
          <w:sz w:val="21"/>
          <w:szCs w:val="21"/>
        </w:rPr>
      </w:pPr>
      <w:hyperlink r:id="rId18" w:tgtFrame="_blank" w:history="1">
        <w:r w:rsidR="00F32BB8" w:rsidRPr="00F32BB8">
          <w:rPr>
            <w:rFonts w:ascii="Arial" w:eastAsia="Times New Roman" w:hAnsi="Arial" w:cs="Arial"/>
            <w:color w:val="0000FF"/>
            <w:sz w:val="21"/>
            <w:szCs w:val="21"/>
          </w:rPr>
          <w:t>Interview Re-Request Form</w:t>
        </w:r>
      </w:hyperlink>
      <w:r w:rsidR="002F340E">
        <w:rPr>
          <w:rFonts w:ascii="Arial" w:eastAsia="Times New Roman" w:hAnsi="Arial" w:cs="Arial"/>
          <w:color w:val="555555"/>
          <w:sz w:val="21"/>
          <w:szCs w:val="21"/>
        </w:rPr>
        <w:t xml:space="preserve">   </w:t>
      </w:r>
    </w:p>
    <w:p w:rsidR="00F32BB8" w:rsidRPr="00F32BB8" w:rsidRDefault="00136E36" w:rsidP="00136E36">
      <w:pPr>
        <w:shd w:val="clear" w:color="auto" w:fill="FFFFFF"/>
        <w:spacing w:after="0" w:line="420" w:lineRule="atLeast"/>
        <w:rPr>
          <w:rFonts w:ascii="Arial" w:eastAsia="Times New Roman" w:hAnsi="Arial" w:cs="Arial"/>
          <w:color w:val="555555"/>
          <w:sz w:val="21"/>
          <w:szCs w:val="21"/>
        </w:rPr>
      </w:pPr>
      <w:r w:rsidRPr="00136E36">
        <w:rPr>
          <w:rFonts w:ascii="Arial" w:eastAsia="Times New Roman" w:hAnsi="Arial" w:cs="Arial"/>
          <w:color w:val="555555"/>
          <w:sz w:val="21"/>
          <w:szCs w:val="21"/>
        </w:rPr>
        <w:t>https://www.tvec.gov.lk/wp-content/uploads/2020/09/05_MC_Interview_Request_Form.pdf</w:t>
      </w:r>
      <w:r w:rsidR="002F340E">
        <w:rPr>
          <w:rFonts w:ascii="Arial" w:eastAsia="Times New Roman" w:hAnsi="Arial" w:cs="Arial"/>
          <w:color w:val="555555"/>
          <w:sz w:val="21"/>
          <w:szCs w:val="21"/>
        </w:rPr>
        <w:t xml:space="preserve">   </w:t>
      </w:r>
    </w:p>
    <w:p w:rsidR="00F32BB8" w:rsidRDefault="00136E36" w:rsidP="00F32BB8">
      <w:pPr>
        <w:numPr>
          <w:ilvl w:val="0"/>
          <w:numId w:val="18"/>
        </w:numPr>
        <w:shd w:val="clear" w:color="auto" w:fill="FFFFFF"/>
        <w:spacing w:after="0" w:line="420" w:lineRule="atLeast"/>
        <w:ind w:left="0"/>
        <w:rPr>
          <w:rFonts w:ascii="Arial" w:eastAsia="Times New Roman" w:hAnsi="Arial" w:cs="Arial"/>
          <w:color w:val="555555"/>
          <w:sz w:val="21"/>
          <w:szCs w:val="21"/>
        </w:rPr>
      </w:pPr>
      <w:hyperlink r:id="rId19" w:tgtFrame="_blank" w:history="1">
        <w:r w:rsidR="00F32BB8" w:rsidRPr="00F32BB8">
          <w:rPr>
            <w:rFonts w:ascii="Arial" w:eastAsia="Times New Roman" w:hAnsi="Arial" w:cs="Arial"/>
            <w:color w:val="3333FF"/>
            <w:sz w:val="21"/>
            <w:szCs w:val="21"/>
          </w:rPr>
          <w:t>National Competency Standards</w:t>
        </w:r>
      </w:hyperlink>
      <w:r w:rsidR="002F340E">
        <w:rPr>
          <w:rFonts w:ascii="Arial" w:eastAsia="Times New Roman" w:hAnsi="Arial" w:cs="Arial"/>
          <w:color w:val="555555"/>
          <w:sz w:val="21"/>
          <w:szCs w:val="21"/>
        </w:rPr>
        <w:t xml:space="preserve">    </w:t>
      </w:r>
      <w:r>
        <w:rPr>
          <w:rFonts w:ascii="Arial" w:eastAsia="Times New Roman" w:hAnsi="Arial" w:cs="Arial"/>
          <w:color w:val="555555"/>
          <w:sz w:val="21"/>
          <w:szCs w:val="21"/>
        </w:rPr>
        <w:t xml:space="preserve">Please link to the relevant page  to download the NCS </w:t>
      </w:r>
    </w:p>
    <w:p w:rsidR="00F32BB8" w:rsidRPr="00F32BB8" w:rsidRDefault="00F32BB8" w:rsidP="00F32BB8">
      <w:pPr>
        <w:shd w:val="clear" w:color="auto" w:fill="FFFFFF"/>
        <w:spacing w:after="0" w:line="420" w:lineRule="atLeast"/>
        <w:rPr>
          <w:rFonts w:ascii="Arial" w:eastAsia="Times New Roman" w:hAnsi="Arial" w:cs="Arial"/>
          <w:color w:val="555555"/>
          <w:sz w:val="21"/>
          <w:szCs w:val="21"/>
        </w:rPr>
      </w:pPr>
    </w:p>
    <w:p w:rsidR="00F32BB8" w:rsidRPr="00F32BB8" w:rsidRDefault="00F32BB8" w:rsidP="00F32BB8">
      <w:pPr>
        <w:shd w:val="clear" w:color="auto" w:fill="FFFFFF"/>
        <w:spacing w:after="0" w:line="420" w:lineRule="atLeast"/>
        <w:rPr>
          <w:rFonts w:ascii="Arial" w:eastAsia="Times New Roman" w:hAnsi="Arial" w:cs="Arial"/>
          <w:color w:val="3333FF"/>
          <w:sz w:val="21"/>
          <w:szCs w:val="21"/>
        </w:rPr>
      </w:pPr>
    </w:p>
    <w:p w:rsidR="00F32BB8" w:rsidRPr="00F32BB8" w:rsidRDefault="00F32BB8" w:rsidP="00F32BB8">
      <w:pPr>
        <w:rPr>
          <w:rFonts w:ascii="Times New Roman" w:hAnsi="Times New Roman" w:cs="Times New Roman"/>
          <w:color w:val="FF0000"/>
          <w:sz w:val="40"/>
          <w:szCs w:val="40"/>
        </w:rPr>
      </w:pPr>
      <w:r w:rsidRPr="00F32BB8">
        <w:rPr>
          <w:rFonts w:ascii="Times New Roman" w:hAnsi="Times New Roman" w:cs="Times New Roman"/>
          <w:color w:val="FF0000"/>
          <w:sz w:val="40"/>
          <w:szCs w:val="40"/>
        </w:rPr>
        <w:t>Mature Candidate Route Certificate Holders (From 2020</w:t>
      </w:r>
      <w:r>
        <w:rPr>
          <w:rFonts w:ascii="Times New Roman" w:hAnsi="Times New Roman" w:cs="Times New Roman"/>
          <w:color w:val="FF0000"/>
          <w:sz w:val="40"/>
          <w:szCs w:val="40"/>
        </w:rPr>
        <w:t xml:space="preserve"> year</w:t>
      </w:r>
      <w:r w:rsidRPr="00F32BB8">
        <w:rPr>
          <w:rFonts w:ascii="Times New Roman" w:hAnsi="Times New Roman" w:cs="Times New Roman"/>
          <w:color w:val="FF0000"/>
          <w:sz w:val="40"/>
          <w:szCs w:val="40"/>
        </w:rPr>
        <w:t xml:space="preserve">)  </w:t>
      </w:r>
    </w:p>
    <w:p w:rsidR="00F32BB8" w:rsidRPr="00F32BB8" w:rsidRDefault="00F32BB8" w:rsidP="00F32BB8">
      <w:pPr>
        <w:rPr>
          <w:color w:val="FF0000"/>
        </w:rPr>
      </w:pPr>
      <w:proofErr w:type="gramStart"/>
      <w:r w:rsidRPr="00F32BB8">
        <w:rPr>
          <w:color w:val="FF0000"/>
          <w:highlight w:val="yellow"/>
        </w:rPr>
        <w:t>please</w:t>
      </w:r>
      <w:proofErr w:type="gramEnd"/>
      <w:r w:rsidRPr="00F32BB8">
        <w:rPr>
          <w:color w:val="FF0000"/>
          <w:highlight w:val="yellow"/>
        </w:rPr>
        <w:t xml:space="preserve"> link to https://www.nvq.gov.lk/Report_Inquires/Certificate_Enquiry_home.php?srchtxt=</w:t>
      </w:r>
    </w:p>
    <w:sectPr w:rsidR="00F32BB8" w:rsidRPr="00F32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55BD"/>
    <w:multiLevelType w:val="multilevel"/>
    <w:tmpl w:val="E918E13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99518F"/>
    <w:multiLevelType w:val="multilevel"/>
    <w:tmpl w:val="3646A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0271A"/>
    <w:multiLevelType w:val="hybridMultilevel"/>
    <w:tmpl w:val="82347DA4"/>
    <w:lvl w:ilvl="0" w:tplc="A0C2C5C8">
      <w:start w:val="1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D2367"/>
    <w:multiLevelType w:val="multilevel"/>
    <w:tmpl w:val="AEE61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D01AA"/>
    <w:multiLevelType w:val="multilevel"/>
    <w:tmpl w:val="21E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F7244"/>
    <w:multiLevelType w:val="multilevel"/>
    <w:tmpl w:val="B24A7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D509C3"/>
    <w:multiLevelType w:val="multilevel"/>
    <w:tmpl w:val="6DD26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B3E8D"/>
    <w:multiLevelType w:val="multilevel"/>
    <w:tmpl w:val="D6BC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079CD"/>
    <w:multiLevelType w:val="multilevel"/>
    <w:tmpl w:val="E45C3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763951"/>
    <w:multiLevelType w:val="hybridMultilevel"/>
    <w:tmpl w:val="CEEE1FF0"/>
    <w:lvl w:ilvl="0" w:tplc="AF1E92D0">
      <w:start w:val="1"/>
      <w:numFmt w:val="decimal"/>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36C17"/>
    <w:multiLevelType w:val="hybridMultilevel"/>
    <w:tmpl w:val="0B7846B8"/>
    <w:lvl w:ilvl="0" w:tplc="A0C2C5C8">
      <w:start w:val="1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50AA4"/>
    <w:multiLevelType w:val="multilevel"/>
    <w:tmpl w:val="E57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0E2D40"/>
    <w:multiLevelType w:val="multilevel"/>
    <w:tmpl w:val="760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72435"/>
    <w:multiLevelType w:val="multilevel"/>
    <w:tmpl w:val="6BF6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41A15"/>
    <w:multiLevelType w:val="hybridMultilevel"/>
    <w:tmpl w:val="CD163F24"/>
    <w:lvl w:ilvl="0" w:tplc="698C817A">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D00CC"/>
    <w:multiLevelType w:val="hybridMultilevel"/>
    <w:tmpl w:val="0E4E46BE"/>
    <w:lvl w:ilvl="0" w:tplc="A0C2C5C8">
      <w:start w:val="1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47734E"/>
    <w:multiLevelType w:val="multilevel"/>
    <w:tmpl w:val="A79A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70D51"/>
    <w:multiLevelType w:val="hybridMultilevel"/>
    <w:tmpl w:val="156AF014"/>
    <w:lvl w:ilvl="0" w:tplc="A0C2C5C8">
      <w:start w:val="16"/>
      <w:numFmt w:val="bullet"/>
      <w:lvlText w:val=""/>
      <w:lvlJc w:val="left"/>
      <w:pPr>
        <w:ind w:left="1440" w:hanging="360"/>
      </w:pPr>
      <w:rPr>
        <w:rFonts w:ascii="Symbol" w:eastAsiaTheme="maj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141347"/>
    <w:multiLevelType w:val="hybridMultilevel"/>
    <w:tmpl w:val="8E20C68C"/>
    <w:lvl w:ilvl="0" w:tplc="A0C2C5C8">
      <w:start w:val="1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21733"/>
    <w:multiLevelType w:val="multilevel"/>
    <w:tmpl w:val="708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183417"/>
    <w:multiLevelType w:val="hybridMultilevel"/>
    <w:tmpl w:val="243C7948"/>
    <w:lvl w:ilvl="0" w:tplc="A0C2C5C8">
      <w:start w:val="16"/>
      <w:numFmt w:val="bullet"/>
      <w:lvlText w:val=""/>
      <w:lvlJc w:val="left"/>
      <w:pPr>
        <w:ind w:left="1440" w:hanging="360"/>
      </w:pPr>
      <w:rPr>
        <w:rFonts w:ascii="Symbol" w:eastAsiaTheme="maj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914FA8"/>
    <w:multiLevelType w:val="hybridMultilevel"/>
    <w:tmpl w:val="2E0022CE"/>
    <w:lvl w:ilvl="0" w:tplc="A0C2C5C8">
      <w:start w:val="16"/>
      <w:numFmt w:val="bullet"/>
      <w:lvlText w:val=""/>
      <w:lvlJc w:val="left"/>
      <w:pPr>
        <w:ind w:left="1440" w:hanging="360"/>
      </w:pPr>
      <w:rPr>
        <w:rFonts w:ascii="Symbol" w:eastAsiaTheme="majorEastAsia"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530C67"/>
    <w:multiLevelType w:val="hybridMultilevel"/>
    <w:tmpl w:val="50786696"/>
    <w:lvl w:ilvl="0" w:tplc="A0C2C5C8">
      <w:start w:val="16"/>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64D7B"/>
    <w:multiLevelType w:val="multilevel"/>
    <w:tmpl w:val="7546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045825"/>
    <w:multiLevelType w:val="multilevel"/>
    <w:tmpl w:val="87A8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ED4C55"/>
    <w:multiLevelType w:val="multilevel"/>
    <w:tmpl w:val="53DE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B00256"/>
    <w:multiLevelType w:val="multilevel"/>
    <w:tmpl w:val="748C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6"/>
  </w:num>
  <w:num w:numId="3">
    <w:abstractNumId w:val="23"/>
  </w:num>
  <w:num w:numId="4">
    <w:abstractNumId w:val="6"/>
  </w:num>
  <w:num w:numId="5">
    <w:abstractNumId w:val="1"/>
  </w:num>
  <w:num w:numId="6">
    <w:abstractNumId w:val="13"/>
  </w:num>
  <w:num w:numId="7">
    <w:abstractNumId w:val="0"/>
  </w:num>
  <w:num w:numId="8">
    <w:abstractNumId w:val="11"/>
  </w:num>
  <w:num w:numId="9">
    <w:abstractNumId w:val="5"/>
  </w:num>
  <w:num w:numId="10">
    <w:abstractNumId w:val="8"/>
  </w:num>
  <w:num w:numId="11">
    <w:abstractNumId w:val="24"/>
  </w:num>
  <w:num w:numId="12">
    <w:abstractNumId w:val="3"/>
  </w:num>
  <w:num w:numId="13">
    <w:abstractNumId w:val="19"/>
  </w:num>
  <w:num w:numId="14">
    <w:abstractNumId w:val="16"/>
  </w:num>
  <w:num w:numId="15">
    <w:abstractNumId w:val="14"/>
  </w:num>
  <w:num w:numId="16">
    <w:abstractNumId w:val="12"/>
  </w:num>
  <w:num w:numId="17">
    <w:abstractNumId w:val="25"/>
  </w:num>
  <w:num w:numId="18">
    <w:abstractNumId w:val="7"/>
  </w:num>
  <w:num w:numId="19">
    <w:abstractNumId w:val="15"/>
  </w:num>
  <w:num w:numId="20">
    <w:abstractNumId w:val="9"/>
  </w:num>
  <w:num w:numId="21">
    <w:abstractNumId w:val="2"/>
  </w:num>
  <w:num w:numId="22">
    <w:abstractNumId w:val="17"/>
  </w:num>
  <w:num w:numId="23">
    <w:abstractNumId w:val="20"/>
  </w:num>
  <w:num w:numId="24">
    <w:abstractNumId w:val="21"/>
  </w:num>
  <w:num w:numId="25">
    <w:abstractNumId w:val="18"/>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0C"/>
    <w:rsid w:val="00136E36"/>
    <w:rsid w:val="001C6AC7"/>
    <w:rsid w:val="00251073"/>
    <w:rsid w:val="002F340E"/>
    <w:rsid w:val="006811AF"/>
    <w:rsid w:val="00804E0F"/>
    <w:rsid w:val="009D1712"/>
    <w:rsid w:val="00BF65E4"/>
    <w:rsid w:val="00D3370C"/>
    <w:rsid w:val="00DA3A85"/>
    <w:rsid w:val="00F32BB8"/>
    <w:rsid w:val="00F369B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37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337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370C"/>
    <w:rPr>
      <w:rFonts w:ascii="Times New Roman" w:eastAsia="Times New Roman" w:hAnsi="Times New Roman" w:cs="Times New Roman"/>
      <w:b/>
      <w:bCs/>
      <w:sz w:val="27"/>
      <w:szCs w:val="27"/>
    </w:rPr>
  </w:style>
  <w:style w:type="character" w:styleId="Strong">
    <w:name w:val="Strong"/>
    <w:basedOn w:val="DefaultParagraphFont"/>
    <w:uiPriority w:val="22"/>
    <w:qFormat/>
    <w:rsid w:val="00D3370C"/>
    <w:rPr>
      <w:b/>
      <w:bCs/>
    </w:rPr>
  </w:style>
  <w:style w:type="character" w:customStyle="1" w:styleId="Heading1Char">
    <w:name w:val="Heading 1 Char"/>
    <w:basedOn w:val="DefaultParagraphFont"/>
    <w:link w:val="Heading1"/>
    <w:uiPriority w:val="9"/>
    <w:rsid w:val="00D3370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33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3370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370C"/>
    <w:rPr>
      <w:i/>
      <w:iCs/>
    </w:rPr>
  </w:style>
  <w:style w:type="character" w:styleId="Hyperlink">
    <w:name w:val="Hyperlink"/>
    <w:basedOn w:val="DefaultParagraphFont"/>
    <w:uiPriority w:val="99"/>
    <w:unhideWhenUsed/>
    <w:rsid w:val="00D3370C"/>
    <w:rPr>
      <w:color w:val="0000FF"/>
      <w:u w:val="single"/>
    </w:rPr>
  </w:style>
  <w:style w:type="paragraph" w:styleId="ListParagraph">
    <w:name w:val="List Paragraph"/>
    <w:basedOn w:val="Normal"/>
    <w:uiPriority w:val="34"/>
    <w:qFormat/>
    <w:rsid w:val="00D33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37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337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370C"/>
    <w:rPr>
      <w:rFonts w:ascii="Times New Roman" w:eastAsia="Times New Roman" w:hAnsi="Times New Roman" w:cs="Times New Roman"/>
      <w:b/>
      <w:bCs/>
      <w:sz w:val="27"/>
      <w:szCs w:val="27"/>
    </w:rPr>
  </w:style>
  <w:style w:type="character" w:styleId="Strong">
    <w:name w:val="Strong"/>
    <w:basedOn w:val="DefaultParagraphFont"/>
    <w:uiPriority w:val="22"/>
    <w:qFormat/>
    <w:rsid w:val="00D3370C"/>
    <w:rPr>
      <w:b/>
      <w:bCs/>
    </w:rPr>
  </w:style>
  <w:style w:type="character" w:customStyle="1" w:styleId="Heading1Char">
    <w:name w:val="Heading 1 Char"/>
    <w:basedOn w:val="DefaultParagraphFont"/>
    <w:link w:val="Heading1"/>
    <w:uiPriority w:val="9"/>
    <w:rsid w:val="00D3370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33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3370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370C"/>
    <w:rPr>
      <w:i/>
      <w:iCs/>
    </w:rPr>
  </w:style>
  <w:style w:type="character" w:styleId="Hyperlink">
    <w:name w:val="Hyperlink"/>
    <w:basedOn w:val="DefaultParagraphFont"/>
    <w:uiPriority w:val="99"/>
    <w:unhideWhenUsed/>
    <w:rsid w:val="00D3370C"/>
    <w:rPr>
      <w:color w:val="0000FF"/>
      <w:u w:val="single"/>
    </w:rPr>
  </w:style>
  <w:style w:type="paragraph" w:styleId="ListParagraph">
    <w:name w:val="List Paragraph"/>
    <w:basedOn w:val="Normal"/>
    <w:uiPriority w:val="34"/>
    <w:qFormat/>
    <w:rsid w:val="00D3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7711">
      <w:bodyDiv w:val="1"/>
      <w:marLeft w:val="0"/>
      <w:marRight w:val="0"/>
      <w:marTop w:val="0"/>
      <w:marBottom w:val="0"/>
      <w:divBdr>
        <w:top w:val="none" w:sz="0" w:space="0" w:color="auto"/>
        <w:left w:val="none" w:sz="0" w:space="0" w:color="auto"/>
        <w:bottom w:val="none" w:sz="0" w:space="0" w:color="auto"/>
        <w:right w:val="none" w:sz="0" w:space="0" w:color="auto"/>
      </w:divBdr>
    </w:div>
    <w:div w:id="509640575">
      <w:bodyDiv w:val="1"/>
      <w:marLeft w:val="0"/>
      <w:marRight w:val="0"/>
      <w:marTop w:val="0"/>
      <w:marBottom w:val="0"/>
      <w:divBdr>
        <w:top w:val="none" w:sz="0" w:space="0" w:color="auto"/>
        <w:left w:val="none" w:sz="0" w:space="0" w:color="auto"/>
        <w:bottom w:val="none" w:sz="0" w:space="0" w:color="auto"/>
        <w:right w:val="none" w:sz="0" w:space="0" w:color="auto"/>
      </w:divBdr>
    </w:div>
    <w:div w:id="669797187">
      <w:bodyDiv w:val="1"/>
      <w:marLeft w:val="0"/>
      <w:marRight w:val="0"/>
      <w:marTop w:val="0"/>
      <w:marBottom w:val="0"/>
      <w:divBdr>
        <w:top w:val="none" w:sz="0" w:space="0" w:color="auto"/>
        <w:left w:val="none" w:sz="0" w:space="0" w:color="auto"/>
        <w:bottom w:val="none" w:sz="0" w:space="0" w:color="auto"/>
        <w:right w:val="none" w:sz="0" w:space="0" w:color="auto"/>
      </w:divBdr>
    </w:div>
    <w:div w:id="690031042">
      <w:bodyDiv w:val="1"/>
      <w:marLeft w:val="0"/>
      <w:marRight w:val="0"/>
      <w:marTop w:val="0"/>
      <w:marBottom w:val="0"/>
      <w:divBdr>
        <w:top w:val="none" w:sz="0" w:space="0" w:color="auto"/>
        <w:left w:val="none" w:sz="0" w:space="0" w:color="auto"/>
        <w:bottom w:val="none" w:sz="0" w:space="0" w:color="auto"/>
        <w:right w:val="none" w:sz="0" w:space="0" w:color="auto"/>
      </w:divBdr>
    </w:div>
    <w:div w:id="818419680">
      <w:bodyDiv w:val="1"/>
      <w:marLeft w:val="0"/>
      <w:marRight w:val="0"/>
      <w:marTop w:val="0"/>
      <w:marBottom w:val="0"/>
      <w:divBdr>
        <w:top w:val="none" w:sz="0" w:space="0" w:color="auto"/>
        <w:left w:val="none" w:sz="0" w:space="0" w:color="auto"/>
        <w:bottom w:val="none" w:sz="0" w:space="0" w:color="auto"/>
        <w:right w:val="none" w:sz="0" w:space="0" w:color="auto"/>
      </w:divBdr>
    </w:div>
    <w:div w:id="1568371386">
      <w:bodyDiv w:val="1"/>
      <w:marLeft w:val="0"/>
      <w:marRight w:val="0"/>
      <w:marTop w:val="0"/>
      <w:marBottom w:val="0"/>
      <w:divBdr>
        <w:top w:val="none" w:sz="0" w:space="0" w:color="auto"/>
        <w:left w:val="none" w:sz="0" w:space="0" w:color="auto"/>
        <w:bottom w:val="none" w:sz="0" w:space="0" w:color="auto"/>
        <w:right w:val="none" w:sz="0" w:space="0" w:color="auto"/>
      </w:divBdr>
    </w:div>
    <w:div w:id="1575701660">
      <w:bodyDiv w:val="1"/>
      <w:marLeft w:val="0"/>
      <w:marRight w:val="0"/>
      <w:marTop w:val="0"/>
      <w:marBottom w:val="0"/>
      <w:divBdr>
        <w:top w:val="none" w:sz="0" w:space="0" w:color="auto"/>
        <w:left w:val="none" w:sz="0" w:space="0" w:color="auto"/>
        <w:bottom w:val="none" w:sz="0" w:space="0" w:color="auto"/>
        <w:right w:val="none" w:sz="0" w:space="0" w:color="auto"/>
      </w:divBdr>
    </w:div>
    <w:div w:id="1706327150">
      <w:bodyDiv w:val="1"/>
      <w:marLeft w:val="0"/>
      <w:marRight w:val="0"/>
      <w:marTop w:val="0"/>
      <w:marBottom w:val="0"/>
      <w:divBdr>
        <w:top w:val="none" w:sz="0" w:space="0" w:color="auto"/>
        <w:left w:val="none" w:sz="0" w:space="0" w:color="auto"/>
        <w:bottom w:val="none" w:sz="0" w:space="0" w:color="auto"/>
        <w:right w:val="none" w:sz="0" w:space="0" w:color="auto"/>
      </w:divBdr>
    </w:div>
    <w:div w:id="1990936930">
      <w:bodyDiv w:val="1"/>
      <w:marLeft w:val="0"/>
      <w:marRight w:val="0"/>
      <w:marTop w:val="0"/>
      <w:marBottom w:val="0"/>
      <w:divBdr>
        <w:top w:val="none" w:sz="0" w:space="0" w:color="auto"/>
        <w:left w:val="none" w:sz="0" w:space="0" w:color="auto"/>
        <w:bottom w:val="none" w:sz="0" w:space="0" w:color="auto"/>
        <w:right w:val="none" w:sz="0" w:space="0" w:color="auto"/>
      </w:divBdr>
    </w:div>
    <w:div w:id="1999848358">
      <w:bodyDiv w:val="1"/>
      <w:marLeft w:val="0"/>
      <w:marRight w:val="0"/>
      <w:marTop w:val="0"/>
      <w:marBottom w:val="0"/>
      <w:divBdr>
        <w:top w:val="none" w:sz="0" w:space="0" w:color="auto"/>
        <w:left w:val="none" w:sz="0" w:space="0" w:color="auto"/>
        <w:bottom w:val="none" w:sz="0" w:space="0" w:color="auto"/>
        <w:right w:val="none" w:sz="0" w:space="0" w:color="auto"/>
      </w:divBdr>
    </w:div>
    <w:div w:id="2005207450">
      <w:bodyDiv w:val="1"/>
      <w:marLeft w:val="0"/>
      <w:marRight w:val="0"/>
      <w:marTop w:val="0"/>
      <w:marBottom w:val="0"/>
      <w:divBdr>
        <w:top w:val="none" w:sz="0" w:space="0" w:color="auto"/>
        <w:left w:val="none" w:sz="0" w:space="0" w:color="auto"/>
        <w:bottom w:val="none" w:sz="0" w:space="0" w:color="auto"/>
        <w:right w:val="none" w:sz="0" w:space="0" w:color="auto"/>
      </w:divBdr>
    </w:div>
    <w:div w:id="2058892487">
      <w:bodyDiv w:val="1"/>
      <w:marLeft w:val="0"/>
      <w:marRight w:val="0"/>
      <w:marTop w:val="0"/>
      <w:marBottom w:val="0"/>
      <w:divBdr>
        <w:top w:val="none" w:sz="0" w:space="0" w:color="auto"/>
        <w:left w:val="none" w:sz="0" w:space="0" w:color="auto"/>
        <w:bottom w:val="none" w:sz="0" w:space="0" w:color="auto"/>
        <w:right w:val="none" w:sz="0" w:space="0" w:color="auto"/>
      </w:divBdr>
    </w:div>
    <w:div w:id="2069256482">
      <w:bodyDiv w:val="1"/>
      <w:marLeft w:val="0"/>
      <w:marRight w:val="0"/>
      <w:marTop w:val="0"/>
      <w:marBottom w:val="0"/>
      <w:divBdr>
        <w:top w:val="none" w:sz="0" w:space="0" w:color="auto"/>
        <w:left w:val="none" w:sz="0" w:space="0" w:color="auto"/>
        <w:bottom w:val="none" w:sz="0" w:space="0" w:color="auto"/>
        <w:right w:val="none" w:sz="0" w:space="0" w:color="auto"/>
      </w:divBdr>
    </w:div>
    <w:div w:id="20992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ec.gov.lk/wp-content/uploads/2025/02/web_publish.pdf" TargetMode="External"/><Relationship Id="rId13" Type="http://schemas.openxmlformats.org/officeDocument/2006/relationships/hyperlink" Target="https://nvq.gov.lk/MCR/ApplicationWelcome" TargetMode="External"/><Relationship Id="rId18" Type="http://schemas.openxmlformats.org/officeDocument/2006/relationships/hyperlink" Target="http://www.tvec.gov.lk/wp-content/uploads/2020/09/05_MC_Interview_Request_Form.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tvec.gov.lk/wp-content/uploads/2024/08/Application_Speedy_ProcessNew.doc" TargetMode="External"/><Relationship Id="rId12" Type="http://schemas.openxmlformats.org/officeDocument/2006/relationships/hyperlink" Target="https://www.tvec.gov.lk/wp-content/uploads/2024/02/circular_no_02_2024.pdf" TargetMode="External"/><Relationship Id="rId17" Type="http://schemas.openxmlformats.org/officeDocument/2006/relationships/hyperlink" Target="https://www.tvec.gov.lk/wp-content/uploads/2021/07/Evidence_Portfolio_Certification_FormV2.pdf" TargetMode="External"/><Relationship Id="rId2" Type="http://schemas.openxmlformats.org/officeDocument/2006/relationships/styles" Target="styles.xml"/><Relationship Id="rId16" Type="http://schemas.openxmlformats.org/officeDocument/2006/relationships/hyperlink" Target="http://www.tvec.gov.lk/wp-content/uploads/2020/09/04_MC_Evidence_Portfolio_Forma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vq.gov.lk/MCR/ApplicationWelcome" TargetMode="External"/><Relationship Id="rId11" Type="http://schemas.openxmlformats.org/officeDocument/2006/relationships/hyperlink" Target="https://www.tvec.gov.lk/wp-content/uploads/2022/02/NVQ_Circular_02_2022.pdf" TargetMode="External"/><Relationship Id="rId5" Type="http://schemas.openxmlformats.org/officeDocument/2006/relationships/webSettings" Target="webSettings.xml"/><Relationship Id="rId15" Type="http://schemas.openxmlformats.org/officeDocument/2006/relationships/hyperlink" Target="http://www.tvec.gov.lk/wp-content/uploads/2020/09/03_MC_Evidence_Portfolio_Cover_Page.pdf" TargetMode="External"/><Relationship Id="rId10" Type="http://schemas.openxmlformats.org/officeDocument/2006/relationships/hyperlink" Target="https://www.tvec.gov.lk/wp-content/uploads/2022/02/NVQ_Circular_02_2022.pdf" TargetMode="External"/><Relationship Id="rId19" Type="http://schemas.openxmlformats.org/officeDocument/2006/relationships/hyperlink" Target="https://nvq.gov.lk/Report_Inquires/NCS_Request.php" TargetMode="External"/><Relationship Id="rId4" Type="http://schemas.openxmlformats.org/officeDocument/2006/relationships/settings" Target="settings.xml"/><Relationship Id="rId9" Type="http://schemas.openxmlformats.org/officeDocument/2006/relationships/hyperlink" Target="https://www.tvec.gov.lk/wp-content/uploads/2021/06/Mature_Candidate_Circular_Revised_2021.pdf" TargetMode="External"/><Relationship Id="rId14" Type="http://schemas.openxmlformats.org/officeDocument/2006/relationships/hyperlink" Target="https://www.tvec.gov.lk/wp-content/uploads/2024/08/Application_Speedy_ProcessNew.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6</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2025-03-19T06:08:00Z</dcterms:created>
  <dcterms:modified xsi:type="dcterms:W3CDTF">2025-03-20T10:19:00Z</dcterms:modified>
</cp:coreProperties>
</file>